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EB" w:rsidRDefault="002020EB">
      <w:pPr>
        <w:pStyle w:val="normal0"/>
        <w:spacing w:after="0" w:line="240" w:lineRule="auto"/>
        <w:rPr>
          <w:rFonts w:ascii="Times New Roman" w:eastAsia="Times New Roman" w:hAnsi="Times New Roman" w:cs="Times New Roman"/>
          <w:color w:val="000000"/>
        </w:rPr>
      </w:pPr>
    </w:p>
    <w:p w:rsidR="002020EB" w:rsidRDefault="005A7D68">
      <w:pPr>
        <w:pStyle w:val="normal0"/>
        <w:rPr>
          <w:sz w:val="24"/>
          <w:szCs w:val="24"/>
        </w:rPr>
      </w:pPr>
      <w:r>
        <w:rPr>
          <w:sz w:val="24"/>
          <w:szCs w:val="24"/>
        </w:rPr>
        <w:t>Република Србија</w:t>
      </w:r>
    </w:p>
    <w:p w:rsidR="002020EB" w:rsidRDefault="005A7D68">
      <w:pPr>
        <w:pStyle w:val="normal0"/>
        <w:rPr>
          <w:sz w:val="24"/>
          <w:szCs w:val="24"/>
        </w:rPr>
      </w:pPr>
      <w:r>
        <w:rPr>
          <w:sz w:val="24"/>
          <w:szCs w:val="24"/>
        </w:rPr>
        <w:t>Општинска управа Кучево</w:t>
      </w:r>
    </w:p>
    <w:p w:rsidR="002020EB" w:rsidRDefault="005A7D68">
      <w:pPr>
        <w:pStyle w:val="normal0"/>
        <w:rPr>
          <w:sz w:val="24"/>
          <w:szCs w:val="24"/>
        </w:rPr>
      </w:pPr>
      <w:r>
        <w:rPr>
          <w:sz w:val="24"/>
          <w:szCs w:val="24"/>
        </w:rPr>
        <w:t>Одељење за буџет и финансије</w:t>
      </w:r>
    </w:p>
    <w:p w:rsidR="002020EB" w:rsidRDefault="005A7D68">
      <w:pPr>
        <w:pStyle w:val="normal0"/>
        <w:rPr>
          <w:sz w:val="24"/>
          <w:szCs w:val="24"/>
        </w:rPr>
      </w:pPr>
      <w:r>
        <w:rPr>
          <w:sz w:val="24"/>
          <w:szCs w:val="24"/>
        </w:rPr>
        <w:t>Број.IV-03-40-12/2018</w:t>
      </w:r>
    </w:p>
    <w:p w:rsidR="002020EB" w:rsidRDefault="005A7D68">
      <w:pPr>
        <w:pStyle w:val="normal0"/>
        <w:rPr>
          <w:sz w:val="24"/>
          <w:szCs w:val="24"/>
        </w:rPr>
      </w:pPr>
      <w:r>
        <w:rPr>
          <w:sz w:val="24"/>
          <w:szCs w:val="24"/>
        </w:rPr>
        <w:t>Датум 31.07.2018. године</w:t>
      </w:r>
    </w:p>
    <w:p w:rsidR="002020EB" w:rsidRDefault="005A7D68">
      <w:pPr>
        <w:pStyle w:val="normal0"/>
        <w:rPr>
          <w:sz w:val="24"/>
          <w:szCs w:val="24"/>
        </w:rPr>
      </w:pPr>
      <w:r>
        <w:rPr>
          <w:sz w:val="24"/>
          <w:szCs w:val="24"/>
        </w:rPr>
        <w:t>К у ч е в о</w:t>
      </w:r>
    </w:p>
    <w:p w:rsidR="002020EB" w:rsidRDefault="002020EB">
      <w:pPr>
        <w:pStyle w:val="normal0"/>
        <w:rPr>
          <w:sz w:val="24"/>
          <w:szCs w:val="24"/>
        </w:rPr>
      </w:pPr>
    </w:p>
    <w:p w:rsidR="002020EB" w:rsidRDefault="002020EB">
      <w:pPr>
        <w:pStyle w:val="normal0"/>
        <w:rPr>
          <w:sz w:val="24"/>
          <w:szCs w:val="24"/>
        </w:rPr>
      </w:pPr>
    </w:p>
    <w:p w:rsidR="002020EB" w:rsidRDefault="002020EB">
      <w:pPr>
        <w:pStyle w:val="normal0"/>
        <w:spacing w:after="0" w:line="240" w:lineRule="auto"/>
        <w:rPr>
          <w:rFonts w:ascii="Times New Roman" w:eastAsia="Times New Roman" w:hAnsi="Times New Roman" w:cs="Times New Roman"/>
          <w:color w:val="000000"/>
        </w:rPr>
      </w:pPr>
    </w:p>
    <w:p w:rsidR="002020EB" w:rsidRDefault="005A7D68">
      <w:pPr>
        <w:pStyle w:val="normal0"/>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 У Т С Т В О</w:t>
      </w:r>
    </w:p>
    <w:p w:rsidR="002020EB" w:rsidRDefault="005A7D68">
      <w:pPr>
        <w:pStyle w:val="normal0"/>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ПРИПРЕМУ БУЏЕТА ОПШТИНЕ КУЧЕВ</w:t>
      </w:r>
      <w:r>
        <w:rPr>
          <w:color w:val="000000"/>
          <w:sz w:val="28"/>
          <w:szCs w:val="28"/>
        </w:rPr>
        <w:t>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br/>
        <w:t>ЗА 2019. ГОДИНУ</w:t>
      </w:r>
      <w:r>
        <w:rPr>
          <w:rFonts w:ascii="Times New Roman" w:eastAsia="Times New Roman" w:hAnsi="Times New Roman" w:cs="Times New Roman"/>
          <w:color w:val="000000"/>
          <w:sz w:val="28"/>
          <w:szCs w:val="28"/>
        </w:rPr>
        <w:br/>
        <w:t xml:space="preserve"> </w:t>
      </w: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2020EB">
      <w:pPr>
        <w:pStyle w:val="normal0"/>
        <w:spacing w:after="0" w:line="240" w:lineRule="auto"/>
        <w:jc w:val="center"/>
        <w:rPr>
          <w:rFonts w:ascii="Times New Roman" w:eastAsia="Times New Roman" w:hAnsi="Times New Roman" w:cs="Times New Roman"/>
          <w:color w:val="000000"/>
          <w:sz w:val="28"/>
          <w:szCs w:val="28"/>
        </w:rPr>
      </w:pPr>
    </w:p>
    <w:p w:rsidR="002020EB" w:rsidRDefault="005A7D68">
      <w:pPr>
        <w:pStyle w:val="norm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Кучево, јул 2018. године</w:t>
      </w:r>
    </w:p>
    <w:p w:rsidR="002020EB" w:rsidRDefault="005A7D68">
      <w:pPr>
        <w:pStyle w:val="normal0"/>
        <w:spacing w:after="0" w:line="240" w:lineRule="auto"/>
        <w:rPr>
          <w:color w:val="4472C4"/>
          <w:sz w:val="20"/>
          <w:szCs w:val="20"/>
        </w:rPr>
      </w:pPr>
      <w:r>
        <w:br w:type="page"/>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На основу члана 31. и члана 40. Закона о буџетском систему </w:t>
      </w:r>
      <w:r>
        <w:rPr>
          <w:rFonts w:ascii="Times New Roman" w:eastAsia="Times New Roman" w:hAnsi="Times New Roman" w:cs="Times New Roman"/>
          <w:sz w:val="24"/>
          <w:szCs w:val="24"/>
        </w:rPr>
        <w:t xml:space="preserve">(„Службени гласник РС“ број 54/2009, 73/2010, 101/2010, 101/2011, 93/2012, 62/2013, 63/2013- испр, 108/2013, 142/2014, 103/2015,99/16,113/2017)  </w:t>
      </w:r>
      <w:r>
        <w:rPr>
          <w:rFonts w:ascii="Times New Roman" w:eastAsia="Times New Roman" w:hAnsi="Times New Roman" w:cs="Times New Roman"/>
        </w:rPr>
        <w:t>, и Фискалне стратегије за 2018. годину са пројекцијама за 2019. и 2020. годину, Одељење за буџет и финансије Општинске управе Кучево  доноси:</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2020EB" w:rsidRDefault="005A7D68">
      <w:pPr>
        <w:pStyle w:val="normal0"/>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УПУТСТВО</w:t>
      </w:r>
    </w:p>
    <w:p w:rsidR="002020EB" w:rsidRDefault="005A7D68">
      <w:pPr>
        <w:pStyle w:val="normal0"/>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ЗА ПРИПРЕМУ БУЏЕТА ОПШТИНЕ КУЧЕВО  ЗА 2019. ГОДИНУ </w:t>
      </w:r>
      <w:r>
        <w:rPr>
          <w:rFonts w:ascii="Times New Roman" w:eastAsia="Times New Roman" w:hAnsi="Times New Roman" w:cs="Times New Roman"/>
          <w:b/>
        </w:rPr>
        <w:br/>
      </w:r>
    </w:p>
    <w:p w:rsidR="002020EB" w:rsidRDefault="005A7D68">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I ПРАВНИ ОСНОВ</w:t>
      </w:r>
    </w:p>
    <w:p w:rsidR="002020EB" w:rsidRDefault="002020EB">
      <w:pPr>
        <w:pStyle w:val="normal0"/>
        <w:spacing w:after="0" w:line="240" w:lineRule="auto"/>
        <w:jc w:val="center"/>
        <w:rPr>
          <w:rFonts w:ascii="Times New Roman" w:eastAsia="Times New Roman" w:hAnsi="Times New Roman" w:cs="Times New Roman"/>
        </w:rPr>
      </w:pP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Поступак припреме и доношења буџета локалне власти уређен је Законом о буџетском систему. Рокови за доношење Фискалне стратегије и достављање Упутства за припрему одлуке о буџету локалне власти, уређени су чланом 31. Закона о буџетском систему, односно буџетским календаром.</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На основу члана 31. Закона, министар финансија доставља Упутство за припрему Oдлуке о буџету локалне власти и Фискалну стратегију  до 5. јула. У складу са чланом  40. и 41. Закона о буџетском систему, локални орган управе надлежан за финансије издаје Упутство за припрему буџета  општине и доставља га буџетским корисницима до 1. августа. </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Чланом 41. Закона о буџетском систему дефинисано је да су  корисници средстава буџета локалне власти обавезни да припреме предлог финансијског плана на основу смерница које се односе на буџет локалне власти.</w:t>
      </w:r>
    </w:p>
    <w:p w:rsidR="002020EB" w:rsidRDefault="005A7D68">
      <w:pPr>
        <w:pStyle w:val="normal0"/>
        <w:spacing w:after="0" w:line="240" w:lineRule="auto"/>
        <w:ind w:firstLine="708"/>
        <w:jc w:val="both"/>
        <w:rPr>
          <w:rFonts w:ascii="Times New Roman" w:eastAsia="Times New Roman" w:hAnsi="Times New Roman" w:cs="Times New Roman"/>
          <w:u w:val="single"/>
        </w:rPr>
      </w:pPr>
      <w:r>
        <w:rPr>
          <w:rFonts w:ascii="Times New Roman" w:eastAsia="Times New Roman" w:hAnsi="Times New Roman" w:cs="Times New Roman"/>
        </w:rPr>
        <w:t xml:space="preserve">У складу са чланом 112. Закона, почевши од доношења о буџета за 2015. годину, све локалне самоуправе и корисници буџетских средстава су у обавези да своје финансијске планове планирају у складу са </w:t>
      </w:r>
      <w:r>
        <w:rPr>
          <w:rFonts w:ascii="Times New Roman" w:eastAsia="Times New Roman" w:hAnsi="Times New Roman" w:cs="Times New Roman"/>
          <w:u w:val="single"/>
        </w:rPr>
        <w:t>програмском методологијом</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Упутство за припрему програмског буџета је доступно на сајту Министарства финансија </w:t>
      </w:r>
      <w:hyperlink r:id="rId7">
        <w:r>
          <w:rPr>
            <w:rFonts w:ascii="Times New Roman" w:eastAsia="Times New Roman" w:hAnsi="Times New Roman" w:cs="Times New Roman"/>
            <w:color w:val="0000FF"/>
            <w:u w:val="single"/>
          </w:rPr>
          <w:t>www.mfin.gov.rs</w:t>
        </w:r>
      </w:hyperlink>
      <w:r>
        <w:rPr>
          <w:rFonts w:ascii="Times New Roman" w:eastAsia="Times New Roman" w:hAnsi="Times New Roman" w:cs="Times New Roman"/>
          <w:u w:val="single"/>
        </w:rPr>
        <w:t xml:space="preserve">. </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Упутство које вам достављамо, садржи основне економске претпоставке, смернице и параметре на основу којих израђујете Предлог финансијског плана за 2019. годину и наредне две фискалне године. У погледу садржине предлога финансијског плана  корисника средстава буџета сходно се примењују одредбе члана 37.  Закона o буџетском систему.</w:t>
      </w:r>
    </w:p>
    <w:p w:rsidR="002020EB" w:rsidRDefault="002020EB">
      <w:pPr>
        <w:pStyle w:val="normal0"/>
        <w:spacing w:after="0" w:line="240" w:lineRule="auto"/>
        <w:jc w:val="both"/>
        <w:rPr>
          <w:rFonts w:ascii="Times New Roman" w:eastAsia="Times New Roman" w:hAnsi="Times New Roman" w:cs="Times New Roman"/>
        </w:rPr>
      </w:pP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rPr>
        <w:t xml:space="preserve">              Упутство за припрему буџета општине Кучево за 2019. годину садржи:</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основне економске претпоставке и смернице за припрему нацрта буџета општине</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опис планиране политике локалне власти</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процене прихода и примања и расхода и издатака буџета општине за буџетску и наредне две године</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обим средстава који може да садржи предлог финансијског плана корисника</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смернице за припрему средњорочних планова за  буџетске кориснике</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поступак и динамику припреме буџета општине</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начин на који ће се у образложењу исказати родна анализа буџета </w:t>
      </w:r>
    </w:p>
    <w:p w:rsidR="002020EB" w:rsidRDefault="005A7D68">
      <w:pPr>
        <w:pStyle w:val="normal0"/>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начин на који ће се исказати програмске информације.</w:t>
      </w:r>
    </w:p>
    <w:p w:rsidR="002020EB" w:rsidRDefault="002020EB">
      <w:pPr>
        <w:pStyle w:val="normal0"/>
        <w:spacing w:after="0" w:line="240" w:lineRule="auto"/>
        <w:ind w:left="720"/>
        <w:jc w:val="both"/>
        <w:rPr>
          <w:rFonts w:ascii="Times New Roman" w:eastAsia="Times New Roman" w:hAnsi="Times New Roman" w:cs="Times New Roman"/>
        </w:rPr>
      </w:pPr>
    </w:p>
    <w:p w:rsidR="002020EB" w:rsidRDefault="002020EB">
      <w:pPr>
        <w:pStyle w:val="normal0"/>
        <w:spacing w:after="0" w:line="240" w:lineRule="auto"/>
        <w:ind w:left="360"/>
        <w:jc w:val="both"/>
        <w:rPr>
          <w:rFonts w:ascii="Times New Roman" w:eastAsia="Times New Roman" w:hAnsi="Times New Roman" w:cs="Times New Roman"/>
        </w:rPr>
      </w:pPr>
    </w:p>
    <w:p w:rsidR="002020EB" w:rsidRDefault="005A7D68">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I ОСНОВНЕ ЕКОНОМСКЕ ПРЕТПОСТАВКЕ И СМЕРНИЦЕ ЗА ПРИПРЕМУ НАЦРТА БУЏЕТА ОПШТИНЕ ЗА 2019. ГОДИНУ</w:t>
      </w:r>
    </w:p>
    <w:p w:rsidR="002020EB" w:rsidRDefault="002020EB">
      <w:pPr>
        <w:pStyle w:val="normal0"/>
        <w:spacing w:after="0" w:line="240" w:lineRule="auto"/>
        <w:jc w:val="center"/>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            Министарство финансија још увек није писмено доставило Фискалну стратегију за 201</w:t>
      </w:r>
      <w:r>
        <w:rPr>
          <w:u w:val="single"/>
        </w:rPr>
        <w:t>9</w:t>
      </w:r>
      <w:r>
        <w:rPr>
          <w:rFonts w:ascii="Times New Roman" w:eastAsia="Times New Roman" w:hAnsi="Times New Roman" w:cs="Times New Roman"/>
          <w:u w:val="single"/>
        </w:rPr>
        <w:t xml:space="preserve">. </w:t>
      </w:r>
      <w:r>
        <w:rPr>
          <w:u w:val="single"/>
        </w:rPr>
        <w:t>г</w:t>
      </w:r>
      <w:r>
        <w:rPr>
          <w:rFonts w:ascii="Times New Roman" w:eastAsia="Times New Roman" w:hAnsi="Times New Roman" w:cs="Times New Roman"/>
          <w:u w:val="single"/>
        </w:rPr>
        <w:t>одину нити Упутство за припрему буџета локалне власти за 2019. године .Сходно томе,како би се испоштовали рокови предвиђени буџетским календаром за локалну власт,  основне смернице у овом Упу</w:t>
      </w:r>
      <w:r>
        <w:rPr>
          <w:u w:val="single"/>
        </w:rPr>
        <w:t>т</w:t>
      </w:r>
      <w:r>
        <w:rPr>
          <w:rFonts w:ascii="Times New Roman" w:eastAsia="Times New Roman" w:hAnsi="Times New Roman" w:cs="Times New Roman"/>
          <w:u w:val="single"/>
        </w:rPr>
        <w:t>ству дају се  из Фискалне стратегије за 2018. годину са пројекцијама за 2019. и 2020. годину  и Упутства Министарства финансија за израду Одлуке о буџету за 2018. годину.</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Фискална стратегија за 2018. годину са пројекцијама за 2019. и 2020. годину (у даљем тексту Фискална стратегија) је документ средњорочног планирања буџета у који су укључене </w:t>
      </w:r>
      <w:r>
        <w:rPr>
          <w:rFonts w:ascii="Times New Roman" w:eastAsia="Times New Roman" w:hAnsi="Times New Roman" w:cs="Times New Roman"/>
        </w:rPr>
        <w:lastRenderedPageBreak/>
        <w:t>средњорочне анализе и пројекције републичког буџета, буџета општина и градова и ванбуџетских фондова и саставни је део планирања буџета за сваку наредну годину.</w:t>
      </w:r>
    </w:p>
    <w:p w:rsidR="001C1F88" w:rsidRPr="001C1F88" w:rsidRDefault="001C1F88">
      <w:pPr>
        <w:pStyle w:val="normal0"/>
        <w:spacing w:after="0" w:line="240" w:lineRule="auto"/>
        <w:ind w:firstLine="708"/>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Основни циљеви </w:t>
      </w:r>
      <w:r>
        <w:rPr>
          <w:rFonts w:ascii="Times New Roman" w:eastAsia="Times New Roman" w:hAnsi="Times New Roman" w:cs="Times New Roman"/>
          <w:u w:val="single"/>
        </w:rPr>
        <w:t>економске политике</w:t>
      </w:r>
      <w:r>
        <w:rPr>
          <w:rFonts w:ascii="Times New Roman" w:eastAsia="Times New Roman" w:hAnsi="Times New Roman" w:cs="Times New Roman"/>
        </w:rPr>
        <w:t xml:space="preserve"> у наредном средњорочном периоду фокусирани су на:</w:t>
      </w:r>
    </w:p>
    <w:p w:rsidR="002020EB" w:rsidRDefault="005A7D68">
      <w:pPr>
        <w:pStyle w:val="normal0"/>
        <w:numPr>
          <w:ilvl w:val="0"/>
          <w:numId w:val="2"/>
        </w:numPr>
        <w:spacing w:after="0" w:line="240" w:lineRule="auto"/>
        <w:jc w:val="both"/>
      </w:pPr>
      <w:r>
        <w:rPr>
          <w:rFonts w:ascii="Times New Roman" w:eastAsia="Times New Roman" w:hAnsi="Times New Roman" w:cs="Times New Roman"/>
        </w:rPr>
        <w:t>Очување постигнутих резултата фискалне консолидације, одржавање макроекономске стабилности уз заустављање даљег раста дуга и успостављање његовог смањења;</w:t>
      </w:r>
    </w:p>
    <w:p w:rsidR="002020EB" w:rsidRDefault="005A7D68">
      <w:pPr>
        <w:pStyle w:val="normal0"/>
        <w:numPr>
          <w:ilvl w:val="0"/>
          <w:numId w:val="2"/>
        </w:numPr>
        <w:spacing w:after="0" w:line="240" w:lineRule="auto"/>
        <w:jc w:val="both"/>
      </w:pPr>
      <w:r>
        <w:rPr>
          <w:rFonts w:ascii="Times New Roman" w:eastAsia="Times New Roman" w:hAnsi="Times New Roman" w:cs="Times New Roman"/>
        </w:rPr>
        <w:t>Подршка иницијативама које треба да подстакну привредни раст, подизање конкурентности спровођењем свеобухватних структурних реформи и наставак примене структурних реформи, посебно у домену јавних предузећа, као и подизање ефикасности јавног сектора.</w:t>
      </w:r>
    </w:p>
    <w:p w:rsidR="002020EB" w:rsidRDefault="005A7D68">
      <w:pPr>
        <w:pStyle w:val="normal0"/>
        <w:numPr>
          <w:ilvl w:val="0"/>
          <w:numId w:val="2"/>
        </w:numPr>
        <w:spacing w:after="0" w:line="240" w:lineRule="auto"/>
        <w:jc w:val="both"/>
      </w:pPr>
      <w:r>
        <w:rPr>
          <w:rFonts w:ascii="Times New Roman" w:eastAsia="Times New Roman" w:hAnsi="Times New Roman" w:cs="Times New Roman"/>
        </w:rPr>
        <w:t>Унапређење пословног окружења , ширење и модернизација производних капацитета и одржавање континуитета у приближавању Европској унији.</w:t>
      </w:r>
    </w:p>
    <w:p w:rsidR="002020EB" w:rsidRDefault="002020EB">
      <w:pPr>
        <w:pStyle w:val="normal0"/>
        <w:spacing w:after="0" w:line="240" w:lineRule="auto"/>
        <w:ind w:left="420"/>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Основни циљеви и приоритети </w:t>
      </w:r>
      <w:r>
        <w:rPr>
          <w:rFonts w:ascii="Times New Roman" w:eastAsia="Times New Roman" w:hAnsi="Times New Roman" w:cs="Times New Roman"/>
          <w:u w:val="single"/>
        </w:rPr>
        <w:t>фискалне политике</w:t>
      </w:r>
      <w:r>
        <w:rPr>
          <w:rFonts w:ascii="Times New Roman" w:eastAsia="Times New Roman" w:hAnsi="Times New Roman" w:cs="Times New Roman"/>
        </w:rPr>
        <w:t xml:space="preserve"> у наредном периоду су:</w:t>
      </w:r>
    </w:p>
    <w:p w:rsidR="002020EB" w:rsidRDefault="005A7D68">
      <w:pPr>
        <w:pStyle w:val="normal0"/>
        <w:spacing w:after="0" w:line="240" w:lineRule="auto"/>
        <w:ind w:left="851" w:hanging="142"/>
        <w:jc w:val="both"/>
        <w:rPr>
          <w:rFonts w:ascii="Times New Roman" w:eastAsia="Times New Roman" w:hAnsi="Times New Roman" w:cs="Times New Roman"/>
        </w:rPr>
      </w:pPr>
      <w:r>
        <w:t xml:space="preserve">• </w:t>
      </w:r>
      <w:r>
        <w:rPr>
          <w:rFonts w:ascii="Times New Roman" w:eastAsia="Times New Roman" w:hAnsi="Times New Roman" w:cs="Times New Roman"/>
        </w:rPr>
        <w:t>даље смањење фискалног дефицита и јавног дуга;</w:t>
      </w:r>
    </w:p>
    <w:p w:rsidR="002020EB" w:rsidRDefault="005A7D68">
      <w:pPr>
        <w:pStyle w:val="normal0"/>
        <w:spacing w:after="0" w:line="240" w:lineRule="auto"/>
        <w:ind w:left="851" w:hanging="142"/>
        <w:jc w:val="both"/>
        <w:rPr>
          <w:rFonts w:ascii="Times New Roman" w:eastAsia="Times New Roman" w:hAnsi="Times New Roman" w:cs="Times New Roman"/>
        </w:rPr>
      </w:pPr>
      <w:r>
        <w:t xml:space="preserve">• </w:t>
      </w:r>
      <w:r>
        <w:rPr>
          <w:rFonts w:ascii="Times New Roman" w:eastAsia="Times New Roman" w:hAnsi="Times New Roman" w:cs="Times New Roman"/>
        </w:rPr>
        <w:t>јачање пореске дисциплине која подразумева побољшање система наплате пореза и смањење сиве економије;</w:t>
      </w:r>
    </w:p>
    <w:p w:rsidR="002020EB" w:rsidRDefault="005A7D68">
      <w:pPr>
        <w:pStyle w:val="normal0"/>
        <w:spacing w:after="0" w:line="240" w:lineRule="auto"/>
        <w:ind w:left="851" w:hanging="142"/>
        <w:jc w:val="both"/>
        <w:rPr>
          <w:rFonts w:ascii="Times New Roman" w:eastAsia="Times New Roman" w:hAnsi="Times New Roman" w:cs="Times New Roman"/>
        </w:rPr>
      </w:pPr>
      <w:r>
        <w:t xml:space="preserve">• </w:t>
      </w:r>
      <w:r>
        <w:rPr>
          <w:rFonts w:ascii="Times New Roman" w:eastAsia="Times New Roman" w:hAnsi="Times New Roman" w:cs="Times New Roman"/>
        </w:rPr>
        <w:t>јачање дугорочне фискалне одрживости кроз спровођење структурних реформи, посебно реформи јавног сектора, као и наставак штедње у области других текућих расхода.</w:t>
      </w:r>
    </w:p>
    <w:p w:rsidR="002020EB" w:rsidRDefault="002020EB">
      <w:pPr>
        <w:pStyle w:val="normal0"/>
        <w:spacing w:after="0" w:line="240" w:lineRule="auto"/>
        <w:ind w:left="851" w:hanging="142"/>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rPr>
      </w:pPr>
      <w:r>
        <w:rPr>
          <w:b/>
        </w:rPr>
        <w:t xml:space="preserve"> </w:t>
      </w:r>
      <w:r>
        <w:rPr>
          <w:rFonts w:ascii="Times New Roman" w:eastAsia="Times New Roman" w:hAnsi="Times New Roman" w:cs="Times New Roman"/>
          <w:b/>
        </w:rPr>
        <w:t>Основне макроекономске претпоставке за период 2019-2021. године су :</w:t>
      </w:r>
    </w:p>
    <w:p w:rsidR="002020EB" w:rsidRDefault="002020EB">
      <w:pPr>
        <w:pStyle w:val="normal0"/>
        <w:spacing w:after="0" w:line="240" w:lineRule="auto"/>
        <w:rPr>
          <w:rFonts w:ascii="Times New Roman" w:eastAsia="Times New Roman" w:hAnsi="Times New Roman" w:cs="Times New Roman"/>
        </w:rPr>
      </w:pPr>
    </w:p>
    <w:tbl>
      <w:tblPr>
        <w:tblStyle w:val="a"/>
        <w:tblW w:w="8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43"/>
        <w:gridCol w:w="1317"/>
        <w:gridCol w:w="1309"/>
        <w:gridCol w:w="1309"/>
        <w:gridCol w:w="1780"/>
      </w:tblGrid>
      <w:tr w:rsidR="002020EB">
        <w:trPr>
          <w:trHeight w:val="280"/>
          <w:jc w:val="center"/>
        </w:trPr>
        <w:tc>
          <w:tcPr>
            <w:tcW w:w="2743" w:type="dxa"/>
            <w:vAlign w:val="center"/>
          </w:tcPr>
          <w:p w:rsidR="002020EB" w:rsidRDefault="002020EB">
            <w:pPr>
              <w:pStyle w:val="normal0"/>
              <w:spacing w:after="120"/>
              <w:jc w:val="center"/>
              <w:rPr>
                <w:rFonts w:ascii="Times New Roman" w:eastAsia="Times New Roman" w:hAnsi="Times New Roman" w:cs="Times New Roman"/>
              </w:rPr>
            </w:pPr>
          </w:p>
        </w:tc>
        <w:tc>
          <w:tcPr>
            <w:tcW w:w="3935" w:type="dxa"/>
            <w:gridSpan w:val="3"/>
            <w:vAlign w:val="center"/>
          </w:tcPr>
          <w:p w:rsidR="002020EB" w:rsidRDefault="005A7D68">
            <w:pPr>
              <w:pStyle w:val="normal0"/>
              <w:spacing w:after="120"/>
              <w:jc w:val="center"/>
              <w:rPr>
                <w:rFonts w:ascii="Times New Roman" w:eastAsia="Times New Roman" w:hAnsi="Times New Roman" w:cs="Times New Roman"/>
              </w:rPr>
            </w:pPr>
            <w:r>
              <w:rPr>
                <w:rFonts w:ascii="Times New Roman" w:eastAsia="Times New Roman" w:hAnsi="Times New Roman" w:cs="Times New Roman"/>
                <w:b/>
              </w:rPr>
              <w:t>Пројекција</w:t>
            </w:r>
          </w:p>
        </w:tc>
        <w:tc>
          <w:tcPr>
            <w:tcW w:w="1780" w:type="dxa"/>
          </w:tcPr>
          <w:p w:rsidR="002020EB" w:rsidRDefault="002020EB">
            <w:pPr>
              <w:pStyle w:val="normal0"/>
              <w:spacing w:after="120"/>
              <w:jc w:val="center"/>
              <w:rPr>
                <w:rFonts w:ascii="Times New Roman" w:eastAsia="Times New Roman" w:hAnsi="Times New Roman" w:cs="Times New Roman"/>
              </w:rPr>
            </w:pPr>
          </w:p>
        </w:tc>
      </w:tr>
      <w:tr w:rsidR="002020EB">
        <w:trPr>
          <w:trHeight w:val="160"/>
          <w:jc w:val="center"/>
        </w:trPr>
        <w:tc>
          <w:tcPr>
            <w:tcW w:w="2743" w:type="dxa"/>
            <w:vAlign w:val="center"/>
          </w:tcPr>
          <w:p w:rsidR="002020EB" w:rsidRDefault="002020EB">
            <w:pPr>
              <w:pStyle w:val="normal0"/>
              <w:spacing w:after="120"/>
              <w:jc w:val="center"/>
              <w:rPr>
                <w:rFonts w:ascii="Times New Roman" w:eastAsia="Times New Roman" w:hAnsi="Times New Roman" w:cs="Times New Roman"/>
              </w:rPr>
            </w:pPr>
          </w:p>
        </w:tc>
        <w:tc>
          <w:tcPr>
            <w:tcW w:w="1317" w:type="dxa"/>
            <w:vAlign w:val="center"/>
          </w:tcPr>
          <w:p w:rsidR="002020EB" w:rsidRDefault="005A7D68">
            <w:pPr>
              <w:pStyle w:val="normal0"/>
              <w:spacing w:after="120"/>
              <w:jc w:val="center"/>
              <w:rPr>
                <w:rFonts w:ascii="Times New Roman" w:eastAsia="Times New Roman" w:hAnsi="Times New Roman" w:cs="Times New Roman"/>
              </w:rPr>
            </w:pPr>
            <w:r>
              <w:rPr>
                <w:rFonts w:ascii="Times New Roman" w:eastAsia="Times New Roman" w:hAnsi="Times New Roman" w:cs="Times New Roman"/>
                <w:b/>
              </w:rPr>
              <w:t>2018</w:t>
            </w:r>
          </w:p>
        </w:tc>
        <w:tc>
          <w:tcPr>
            <w:tcW w:w="1309" w:type="dxa"/>
            <w:vAlign w:val="center"/>
          </w:tcPr>
          <w:p w:rsidR="002020EB" w:rsidRDefault="005A7D68">
            <w:pPr>
              <w:pStyle w:val="normal0"/>
              <w:spacing w:after="120"/>
              <w:jc w:val="center"/>
              <w:rPr>
                <w:rFonts w:ascii="Times New Roman" w:eastAsia="Times New Roman" w:hAnsi="Times New Roman" w:cs="Times New Roman"/>
              </w:rPr>
            </w:pPr>
            <w:r>
              <w:rPr>
                <w:rFonts w:ascii="Times New Roman" w:eastAsia="Times New Roman" w:hAnsi="Times New Roman" w:cs="Times New Roman"/>
                <w:b/>
              </w:rPr>
              <w:t>2019</w:t>
            </w:r>
          </w:p>
        </w:tc>
        <w:tc>
          <w:tcPr>
            <w:tcW w:w="1309" w:type="dxa"/>
            <w:vAlign w:val="center"/>
          </w:tcPr>
          <w:p w:rsidR="002020EB" w:rsidRDefault="005A7D68">
            <w:pPr>
              <w:pStyle w:val="normal0"/>
              <w:spacing w:after="120"/>
              <w:jc w:val="center"/>
              <w:rPr>
                <w:rFonts w:ascii="Times New Roman" w:eastAsia="Times New Roman" w:hAnsi="Times New Roman" w:cs="Times New Roman"/>
              </w:rPr>
            </w:pPr>
            <w:r>
              <w:rPr>
                <w:rFonts w:ascii="Times New Roman" w:eastAsia="Times New Roman" w:hAnsi="Times New Roman" w:cs="Times New Roman"/>
                <w:b/>
              </w:rPr>
              <w:t>2020</w:t>
            </w:r>
          </w:p>
        </w:tc>
        <w:tc>
          <w:tcPr>
            <w:tcW w:w="1780" w:type="dxa"/>
          </w:tcPr>
          <w:p w:rsidR="002020EB" w:rsidRDefault="005A7D68">
            <w:pPr>
              <w:pStyle w:val="normal0"/>
              <w:spacing w:after="120"/>
              <w:jc w:val="center"/>
              <w:rPr>
                <w:rFonts w:ascii="Times New Roman" w:eastAsia="Times New Roman" w:hAnsi="Times New Roman" w:cs="Times New Roman"/>
              </w:rPr>
            </w:pPr>
            <w:r>
              <w:rPr>
                <w:rFonts w:ascii="Times New Roman" w:eastAsia="Times New Roman" w:hAnsi="Times New Roman" w:cs="Times New Roman"/>
                <w:b/>
              </w:rPr>
              <w:t>2021</w:t>
            </w:r>
          </w:p>
        </w:tc>
      </w:tr>
      <w:tr w:rsidR="002020EB">
        <w:trPr>
          <w:trHeight w:val="280"/>
          <w:jc w:val="center"/>
        </w:trPr>
        <w:tc>
          <w:tcPr>
            <w:tcW w:w="2743" w:type="dxa"/>
          </w:tcPr>
          <w:p w:rsidR="002020EB" w:rsidRDefault="005A7D68">
            <w:pPr>
              <w:pStyle w:val="normal0"/>
              <w:spacing w:after="120"/>
              <w:jc w:val="both"/>
              <w:rPr>
                <w:rFonts w:ascii="Times New Roman" w:eastAsia="Times New Roman" w:hAnsi="Times New Roman" w:cs="Times New Roman"/>
              </w:rPr>
            </w:pPr>
            <w:r>
              <w:rPr>
                <w:rFonts w:ascii="Times New Roman" w:eastAsia="Times New Roman" w:hAnsi="Times New Roman" w:cs="Times New Roman"/>
              </w:rPr>
              <w:t xml:space="preserve">Реални раст БДП, </w:t>
            </w:r>
          </w:p>
        </w:tc>
        <w:tc>
          <w:tcPr>
            <w:tcW w:w="1317"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3,5</w:t>
            </w:r>
          </w:p>
        </w:tc>
        <w:tc>
          <w:tcPr>
            <w:tcW w:w="1309"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3,5</w:t>
            </w:r>
          </w:p>
        </w:tc>
        <w:tc>
          <w:tcPr>
            <w:tcW w:w="1309"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4,0</w:t>
            </w:r>
          </w:p>
        </w:tc>
        <w:tc>
          <w:tcPr>
            <w:tcW w:w="1780"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На нивоу 2020 јер нема других параметара</w:t>
            </w:r>
          </w:p>
        </w:tc>
      </w:tr>
      <w:tr w:rsidR="002020EB">
        <w:trPr>
          <w:trHeight w:val="280"/>
          <w:jc w:val="center"/>
        </w:trPr>
        <w:tc>
          <w:tcPr>
            <w:tcW w:w="2743" w:type="dxa"/>
          </w:tcPr>
          <w:p w:rsidR="002020EB" w:rsidRDefault="005A7D68">
            <w:pPr>
              <w:pStyle w:val="normal0"/>
              <w:spacing w:after="120"/>
              <w:rPr>
                <w:rFonts w:ascii="Times New Roman" w:eastAsia="Times New Roman" w:hAnsi="Times New Roman" w:cs="Times New Roman"/>
              </w:rPr>
            </w:pPr>
            <w:r>
              <w:rPr>
                <w:rFonts w:ascii="Times New Roman" w:eastAsia="Times New Roman" w:hAnsi="Times New Roman" w:cs="Times New Roman"/>
              </w:rPr>
              <w:t>Инфлација, просек периода, у %</w:t>
            </w:r>
          </w:p>
        </w:tc>
        <w:tc>
          <w:tcPr>
            <w:tcW w:w="1317"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2,7</w:t>
            </w:r>
          </w:p>
        </w:tc>
        <w:tc>
          <w:tcPr>
            <w:tcW w:w="1309"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2,8</w:t>
            </w:r>
          </w:p>
        </w:tc>
        <w:tc>
          <w:tcPr>
            <w:tcW w:w="1309"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3,0</w:t>
            </w:r>
          </w:p>
        </w:tc>
        <w:tc>
          <w:tcPr>
            <w:tcW w:w="1780" w:type="dxa"/>
          </w:tcPr>
          <w:p w:rsidR="002020EB" w:rsidRDefault="005A7D68">
            <w:pPr>
              <w:pStyle w:val="normal0"/>
              <w:spacing w:after="120"/>
              <w:jc w:val="right"/>
              <w:rPr>
                <w:rFonts w:ascii="Times New Roman" w:eastAsia="Times New Roman" w:hAnsi="Times New Roman" w:cs="Times New Roman"/>
              </w:rPr>
            </w:pPr>
            <w:r>
              <w:rPr>
                <w:rFonts w:ascii="Times New Roman" w:eastAsia="Times New Roman" w:hAnsi="Times New Roman" w:cs="Times New Roman"/>
              </w:rPr>
              <w:t>На нивоу 2020 јер нема других параметара</w:t>
            </w:r>
          </w:p>
        </w:tc>
      </w:tr>
    </w:tbl>
    <w:p w:rsidR="002020EB" w:rsidRDefault="002020EB">
      <w:pPr>
        <w:pStyle w:val="normal0"/>
        <w:spacing w:after="0" w:line="240" w:lineRule="auto"/>
        <w:jc w:val="both"/>
        <w:rPr>
          <w:rFonts w:ascii="Times New Roman" w:eastAsia="Times New Roman" w:hAnsi="Times New Roman" w:cs="Times New Roman"/>
        </w:rPr>
      </w:pPr>
    </w:p>
    <w:p w:rsidR="002020EB" w:rsidRDefault="005A7D68">
      <w:pPr>
        <w:pStyle w:val="normal0"/>
        <w:jc w:val="both"/>
      </w:pPr>
      <w:r>
        <w:rPr>
          <w:rFonts w:ascii="Times New Roman" w:eastAsia="Times New Roman" w:hAnsi="Times New Roman" w:cs="Times New Roman"/>
        </w:rPr>
        <w:t>Обзиром да од Мини</w:t>
      </w:r>
      <w:r w:rsidR="001C1F88">
        <w:rPr>
          <w:rFonts w:ascii="Times New Roman" w:eastAsia="Times New Roman" w:hAnsi="Times New Roman" w:cs="Times New Roman"/>
        </w:rPr>
        <w:t>старства финансија није стигло У</w:t>
      </w:r>
      <w:r>
        <w:rPr>
          <w:rFonts w:ascii="Times New Roman" w:eastAsia="Times New Roman" w:hAnsi="Times New Roman" w:cs="Times New Roman"/>
        </w:rPr>
        <w:t xml:space="preserve">путство за припрему буџета локалне власти,  за пројекцију у </w:t>
      </w:r>
      <w:r>
        <w:t>2021.</w:t>
      </w:r>
      <w:r>
        <w:rPr>
          <w:rFonts w:ascii="Times New Roman" w:eastAsia="Times New Roman" w:hAnsi="Times New Roman" w:cs="Times New Roman"/>
        </w:rPr>
        <w:t>г</w:t>
      </w:r>
      <w:r>
        <w:t xml:space="preserve">. </w:t>
      </w:r>
      <w:r>
        <w:rPr>
          <w:rFonts w:ascii="Times New Roman" w:eastAsia="Times New Roman" w:hAnsi="Times New Roman" w:cs="Times New Roman"/>
        </w:rPr>
        <w:t xml:space="preserve">треба користити параметре за </w:t>
      </w:r>
      <w:r>
        <w:t>2020.</w:t>
      </w:r>
      <w:r>
        <w:rPr>
          <w:rFonts w:ascii="Times New Roman" w:eastAsia="Times New Roman" w:hAnsi="Times New Roman" w:cs="Times New Roman"/>
        </w:rPr>
        <w:t>г</w:t>
      </w:r>
      <w:r>
        <w:t xml:space="preserve">. </w:t>
      </w:r>
      <w:r>
        <w:rPr>
          <w:rFonts w:ascii="Times New Roman" w:eastAsia="Times New Roman" w:hAnsi="Times New Roman" w:cs="Times New Roman"/>
        </w:rPr>
        <w:t>привремено до достављања наведеног упутства.</w:t>
      </w:r>
    </w:p>
    <w:p w:rsidR="002020EB" w:rsidRDefault="005A7D68">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II ОПИС ПЛАНИРАНЕ ПОЛИТИКЕ ЛОКАЛНЕ ВЛАСТИ</w:t>
      </w:r>
    </w:p>
    <w:p w:rsidR="002020EB" w:rsidRDefault="002020EB">
      <w:pPr>
        <w:pStyle w:val="normal0"/>
        <w:spacing w:after="0" w:line="240" w:lineRule="auto"/>
        <w:rPr>
          <w:rFonts w:ascii="Times New Roman" w:eastAsia="Times New Roman" w:hAnsi="Times New Roman" w:cs="Times New Roman"/>
        </w:rPr>
      </w:pPr>
    </w:p>
    <w:p w:rsidR="002020EB" w:rsidRDefault="005A7D68">
      <w:pPr>
        <w:pStyle w:val="normal0"/>
        <w:jc w:val="both"/>
        <w:rPr>
          <w:rFonts w:ascii="Times New Roman" w:eastAsia="Times New Roman" w:hAnsi="Times New Roman" w:cs="Times New Roman"/>
        </w:rPr>
      </w:pPr>
      <w:r>
        <w:t xml:space="preserve">      </w:t>
      </w:r>
      <w:r>
        <w:rPr>
          <w:rFonts w:ascii="Times New Roman" w:eastAsia="Times New Roman" w:hAnsi="Times New Roman" w:cs="Times New Roman"/>
        </w:rPr>
        <w:t>Пројектована макроекономска политика из Фискалне стратегије за 2018.  и наредне две године представља полазну основу у планирању буџета општине за 2019.г.                                                          У периоду од 2019. до 2021. године општина Кучево ће обављати изворне, поверене и пренесене надлежности у складу са Уставом и Законом о локалној самоуправи, као и другим законским и подзаконским актима којим се регулише ова област. Поред вршења законом обавезујућих активности, општина ће радити у складу са приоритетима, стратешким циљевима и програмима који ће бити  дефини</w:t>
      </w:r>
      <w:r w:rsidR="001C1F88">
        <w:rPr>
          <w:rFonts w:ascii="Times New Roman" w:eastAsia="Times New Roman" w:hAnsi="Times New Roman" w:cs="Times New Roman"/>
        </w:rPr>
        <w:t>сани  Локалном стратегијом одрж</w:t>
      </w:r>
      <w:r>
        <w:rPr>
          <w:rFonts w:ascii="Times New Roman" w:eastAsia="Times New Roman" w:hAnsi="Times New Roman" w:cs="Times New Roman"/>
        </w:rPr>
        <w:t xml:space="preserve">ивог развоја општине Кучево за период од 2019 до 2023. године која треба да се изради до краја 2018. године.        </w:t>
      </w: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Сходно наведеном, активности у 2019. и наредне две фискалне године биће усмерене на следеће послове:</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lastRenderedPageBreak/>
        <w:t>урбанизам и просторно планирање,</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одржавање и ширење комуналних услуга (водоснабдевање, прикупљање и одношење смећа, управљање отпадним водама,  јавна хигијена, уређење и одржавање зеленила, јавна расвета, саобраћајна инфраструктура и остале комуналне услуге),</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вођење економске и развојне политике,</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пољопривреда и рурални развој,</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заштита животне средине,</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обезбеђивање услова за рад локалних установа у култури,</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организација културних и спортских активности и манифестација,</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опорезивање, финансијско управљање и буџетирање,</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унапређење туристичких потенцијала</w:t>
      </w:r>
    </w:p>
    <w:p w:rsidR="002020EB" w:rsidRDefault="005A7D68">
      <w:pPr>
        <w:pStyle w:val="normal0"/>
        <w:numPr>
          <w:ilvl w:val="0"/>
          <w:numId w:val="4"/>
        </w:numPr>
        <w:spacing w:after="0" w:line="240" w:lineRule="auto"/>
        <w:jc w:val="both"/>
      </w:pPr>
      <w:r>
        <w:rPr>
          <w:rFonts w:ascii="Times New Roman" w:eastAsia="Times New Roman" w:hAnsi="Times New Roman" w:cs="Times New Roman"/>
        </w:rPr>
        <w:t>побољшано пружање осталих услуга грађанима у складу са Законом.</w:t>
      </w:r>
    </w:p>
    <w:p w:rsidR="002020EB" w:rsidRDefault="002020EB">
      <w:pPr>
        <w:pStyle w:val="normal0"/>
        <w:spacing w:after="0" w:line="240" w:lineRule="auto"/>
        <w:ind w:left="720"/>
        <w:jc w:val="both"/>
        <w:rPr>
          <w:rFonts w:ascii="Times New Roman" w:eastAsia="Times New Roman" w:hAnsi="Times New Roman" w:cs="Times New Roman"/>
        </w:rPr>
      </w:pPr>
    </w:p>
    <w:p w:rsidR="002020EB" w:rsidRDefault="005A7D68">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Општина Кучево ће обављати поверене и пренесене послове из области:</w:t>
      </w:r>
    </w:p>
    <w:p w:rsidR="002020EB" w:rsidRDefault="005A7D68">
      <w:pPr>
        <w:pStyle w:val="normal0"/>
        <w:numPr>
          <w:ilvl w:val="0"/>
          <w:numId w:val="5"/>
        </w:numPr>
        <w:spacing w:after="0" w:line="240" w:lineRule="auto"/>
      </w:pPr>
      <w:r>
        <w:rPr>
          <w:rFonts w:ascii="Times New Roman" w:eastAsia="Times New Roman" w:hAnsi="Times New Roman" w:cs="Times New Roman"/>
        </w:rPr>
        <w:t>државне управе,</w:t>
      </w:r>
    </w:p>
    <w:p w:rsidR="002020EB" w:rsidRDefault="005A7D68">
      <w:pPr>
        <w:pStyle w:val="normal0"/>
        <w:numPr>
          <w:ilvl w:val="0"/>
          <w:numId w:val="5"/>
        </w:numPr>
        <w:spacing w:after="0" w:line="240" w:lineRule="auto"/>
      </w:pPr>
      <w:r>
        <w:rPr>
          <w:rFonts w:ascii="Times New Roman" w:eastAsia="Times New Roman" w:hAnsi="Times New Roman" w:cs="Times New Roman"/>
        </w:rPr>
        <w:t>социјалне заштите,</w:t>
      </w:r>
    </w:p>
    <w:p w:rsidR="002020EB" w:rsidRDefault="005A7D68">
      <w:pPr>
        <w:pStyle w:val="normal0"/>
        <w:numPr>
          <w:ilvl w:val="0"/>
          <w:numId w:val="5"/>
        </w:numPr>
        <w:spacing w:after="0" w:line="240" w:lineRule="auto"/>
      </w:pPr>
      <w:r>
        <w:rPr>
          <w:rFonts w:ascii="Times New Roman" w:eastAsia="Times New Roman" w:hAnsi="Times New Roman" w:cs="Times New Roman"/>
        </w:rPr>
        <w:t>здравствене заштите,</w:t>
      </w:r>
    </w:p>
    <w:p w:rsidR="002020EB" w:rsidRDefault="005A7D68">
      <w:pPr>
        <w:pStyle w:val="normal0"/>
        <w:numPr>
          <w:ilvl w:val="0"/>
          <w:numId w:val="5"/>
        </w:numPr>
        <w:spacing w:after="0" w:line="240" w:lineRule="auto"/>
      </w:pPr>
      <w:r>
        <w:rPr>
          <w:rFonts w:ascii="Times New Roman" w:eastAsia="Times New Roman" w:hAnsi="Times New Roman" w:cs="Times New Roman"/>
        </w:rPr>
        <w:t>предшколског, основног и средњег образовања,</w:t>
      </w:r>
    </w:p>
    <w:p w:rsidR="002020EB" w:rsidRDefault="005A7D68">
      <w:pPr>
        <w:pStyle w:val="normal0"/>
        <w:numPr>
          <w:ilvl w:val="0"/>
          <w:numId w:val="5"/>
        </w:numPr>
        <w:spacing w:after="0" w:line="240" w:lineRule="auto"/>
      </w:pPr>
      <w:r>
        <w:rPr>
          <w:rFonts w:ascii="Times New Roman" w:eastAsia="Times New Roman" w:hAnsi="Times New Roman" w:cs="Times New Roman"/>
        </w:rPr>
        <w:t>екологије и очувања животне средине,</w:t>
      </w:r>
    </w:p>
    <w:p w:rsidR="002020EB" w:rsidRDefault="005A7D68">
      <w:pPr>
        <w:pStyle w:val="normal0"/>
        <w:numPr>
          <w:ilvl w:val="0"/>
          <w:numId w:val="5"/>
        </w:numPr>
        <w:spacing w:after="0" w:line="240" w:lineRule="auto"/>
        <w:rPr>
          <w:color w:val="4472C4"/>
        </w:rPr>
      </w:pPr>
      <w:r>
        <w:rPr>
          <w:rFonts w:ascii="Times New Roman" w:eastAsia="Times New Roman" w:hAnsi="Times New Roman" w:cs="Times New Roman"/>
        </w:rPr>
        <w:t>рада инспекцијских служби и др</w:t>
      </w:r>
      <w:r>
        <w:rPr>
          <w:rFonts w:ascii="Times New Roman" w:eastAsia="Times New Roman" w:hAnsi="Times New Roman" w:cs="Times New Roman"/>
          <w:color w:val="4472C4"/>
        </w:rPr>
        <w:t>.</w:t>
      </w:r>
    </w:p>
    <w:p w:rsidR="002020EB" w:rsidRDefault="002020EB">
      <w:pPr>
        <w:pStyle w:val="normal0"/>
        <w:spacing w:after="0" w:line="240" w:lineRule="auto"/>
        <w:ind w:firstLine="709"/>
        <w:rPr>
          <w:rFonts w:ascii="Times New Roman" w:eastAsia="Times New Roman" w:hAnsi="Times New Roman" w:cs="Times New Roman"/>
          <w:color w:val="4472C4"/>
        </w:rPr>
      </w:pPr>
    </w:p>
    <w:p w:rsidR="002020EB" w:rsidRDefault="005A7D68">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Приоритет политике локалне власти и у наредном периоду биће консолидација јавног сектора на нивоу јединице локалне самоуправе односно обезбеђење</w:t>
      </w:r>
      <w:r>
        <w:rPr>
          <w:color w:val="000000"/>
        </w:rPr>
        <w:t xml:space="preserve"> </w:t>
      </w:r>
      <w:r>
        <w:rPr>
          <w:rFonts w:ascii="Times New Roman" w:eastAsia="Times New Roman" w:hAnsi="Times New Roman" w:cs="Times New Roman"/>
          <w:color w:val="000000"/>
        </w:rPr>
        <w:t>несметаног  функционисања Општинских органа и свих корисника буџетских средстава у области образовања, културе, туризма, социјалне заштите.</w:t>
      </w:r>
      <w:r>
        <w:rPr>
          <w:color w:val="000000"/>
        </w:rPr>
        <w:t xml:space="preserve"> </w:t>
      </w:r>
      <w:r>
        <w:rPr>
          <w:rFonts w:ascii="Times New Roman" w:eastAsia="Times New Roman" w:hAnsi="Times New Roman" w:cs="Times New Roman"/>
          <w:color w:val="000000"/>
        </w:rPr>
        <w:t>Један од приоритета је рационализација трошкова пословања на свим нивоима као и доследно поштовање Закона о буџетском систему, Закона о јавним набавкама и трезорског пословања.Општина ће наставити са редовним</w:t>
      </w:r>
      <w:r>
        <w:rPr>
          <w:rFonts w:ascii="Times New Roman" w:eastAsia="Times New Roman" w:hAnsi="Times New Roman" w:cs="Times New Roman"/>
          <w:color w:val="000000"/>
          <w:sz w:val="24"/>
          <w:szCs w:val="24"/>
        </w:rPr>
        <w:t xml:space="preserve">  извршавањем свих законских обавеза  који се односе на локалну управу у циљу бољег задовољавања потреба грађана.  </w:t>
      </w:r>
    </w:p>
    <w:p w:rsidR="002020EB" w:rsidRDefault="005A7D68">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Средства за зараде запослених обезбедиће се у законом утврђеним оквирима, а средства за материјалне трошкове и текуће одржавање опреме и објеката у зависности од исказаних потреба и утврђених приоритета, водећи рачуна о потреби за смањењем јавне потрошње. </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Значајна средства ће се обезбедити и за издвајања за социјалну заштиту (разни видови једнократних помоћи, вантелесна оплодња, регресирање трошкова превоза ђака, стипендије, бесплатна ужина, уџбеници и сл). у складу са Одлукама СО Кучево. </w:t>
      </w:r>
    </w:p>
    <w:p w:rsidR="002020EB" w:rsidRDefault="005A7D68">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У наредном периоду наставиће се са повећаним улагањем у одржавање јавне комуналне инфраструктуре и у развој заједнице уопште, као и да се створи повољна клима за инвестирање. Приоритет ће имати програми, односно инвестиције које су започете у овој или ранијим годинама. Наставиће се  рад на изради  развојних и других пројеката са којима је могуће аплицирати код одређених финансијских институција и фондова кроз унапређење рада Одељења за локални економски развој општине Кучево.</w:t>
      </w:r>
    </w:p>
    <w:p w:rsidR="002020EB" w:rsidRDefault="005A7D68">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Локални јавни приходи  такође представљају приоритетну област. Потребно је побољшати услове за  ефикасно администрирање свих пореских облика како би се равномерно распоредио терет пореских оптерећења на све грађане и повећао број пореских обвезника. У том циљу донета је нова Одлука о зонирању општине Кучево. У погледу висине пореских оптерећења задржаће се досадашњи ниво уз евентуалне корекције према кретањима у другим општинама на нивоу округа.</w:t>
      </w:r>
    </w:p>
    <w:p w:rsidR="002020EB" w:rsidRDefault="002020EB">
      <w:pPr>
        <w:pStyle w:val="normal0"/>
        <w:spacing w:after="0" w:line="240" w:lineRule="auto"/>
        <w:rPr>
          <w:rFonts w:ascii="Times New Roman" w:eastAsia="Times New Roman" w:hAnsi="Times New Roman" w:cs="Times New Roman"/>
        </w:rPr>
      </w:pPr>
    </w:p>
    <w:p w:rsidR="002020EB" w:rsidRDefault="005A7D68">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III ПРОЦЕНА ПРИХОДА И ПРИМАЊА И РАСХОДА И ИЗДАТАКА ЗА 2019. И НАРЕДНЕ ДВЕ ГОДИНЕ</w:t>
      </w:r>
    </w:p>
    <w:p w:rsidR="002020EB" w:rsidRDefault="002020EB">
      <w:pPr>
        <w:pStyle w:val="normal0"/>
        <w:spacing w:after="0" w:line="240" w:lineRule="auto"/>
        <w:jc w:val="center"/>
        <w:rPr>
          <w:rFonts w:ascii="Times New Roman" w:eastAsia="Times New Roman" w:hAnsi="Times New Roman" w:cs="Times New Roman"/>
        </w:rPr>
      </w:pP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Полазна основа за планирање обима буџета за 2019. годину су планирани приходи и примања и расходи и издаци из Одлуке о измени и допуни Одлуке о буџету за 2018. годину, њихова реализација у периоду јануар –јун 2018. године  и њихова процена до краја 2018. године.</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На приходној страни се очекује кретање прихода у складу са кретањем БДП, и кориговано очекиваном стопом раста инфлације . </w:t>
      </w:r>
    </w:p>
    <w:p w:rsidR="002020EB" w:rsidRDefault="002020EB">
      <w:pPr>
        <w:pStyle w:val="normal0"/>
        <w:spacing w:after="0" w:line="240" w:lineRule="auto"/>
        <w:ind w:firstLine="708"/>
        <w:jc w:val="both"/>
        <w:rPr>
          <w:rFonts w:ascii="Times New Roman" w:eastAsia="Times New Roman" w:hAnsi="Times New Roman" w:cs="Times New Roman"/>
        </w:rPr>
      </w:pPr>
    </w:p>
    <w:tbl>
      <w:tblPr>
        <w:tblStyle w:val="a0"/>
        <w:tblW w:w="9480" w:type="dxa"/>
        <w:tblInd w:w="-60" w:type="dxa"/>
        <w:tblBorders>
          <w:top w:val="nil"/>
          <w:left w:val="nil"/>
          <w:bottom w:val="nil"/>
          <w:right w:val="nil"/>
          <w:insideH w:val="nil"/>
          <w:insideV w:val="nil"/>
        </w:tblBorders>
        <w:tblLayout w:type="fixed"/>
        <w:tblLook w:val="0600"/>
      </w:tblPr>
      <w:tblGrid>
        <w:gridCol w:w="3195"/>
        <w:gridCol w:w="1710"/>
        <w:gridCol w:w="1560"/>
        <w:gridCol w:w="1485"/>
        <w:gridCol w:w="1530"/>
      </w:tblGrid>
      <w:tr w:rsidR="002020EB">
        <w:trPr>
          <w:trHeight w:val="780"/>
        </w:trPr>
        <w:tc>
          <w:tcPr>
            <w:tcW w:w="319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b/>
              </w:rPr>
              <w:t xml:space="preserve"> ВРСТА ПРИХОДА</w:t>
            </w:r>
          </w:p>
        </w:tc>
        <w:tc>
          <w:tcPr>
            <w:tcW w:w="1710" w:type="dxa"/>
            <w:tcBorders>
              <w:top w:val="single" w:sz="12" w:space="0" w:color="000000"/>
              <w:left w:val="single" w:sz="6" w:space="0" w:color="CCCCCC"/>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Процена за 2018. годину</w:t>
            </w:r>
          </w:p>
        </w:tc>
        <w:tc>
          <w:tcPr>
            <w:tcW w:w="1560" w:type="dxa"/>
            <w:tcBorders>
              <w:top w:val="single" w:sz="12" w:space="0" w:color="000000"/>
              <w:left w:val="single" w:sz="6" w:space="0" w:color="CCCCCC"/>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jc w:val="center"/>
              <w:rPr>
                <w:rFonts w:ascii="Times New Roman" w:eastAsia="Times New Roman" w:hAnsi="Times New Roman" w:cs="Times New Roman"/>
              </w:rPr>
            </w:pPr>
            <w:r>
              <w:rPr>
                <w:rFonts w:ascii="Times New Roman" w:eastAsia="Times New Roman" w:hAnsi="Times New Roman" w:cs="Times New Roman"/>
              </w:rPr>
              <w:t>Пројекција за 2019.</w:t>
            </w:r>
          </w:p>
          <w:p w:rsidR="002020EB" w:rsidRDefault="005A7D68">
            <w:pPr>
              <w:pStyle w:val="normal0"/>
              <w:widowControl w:val="0"/>
              <w:spacing w:after="0"/>
              <w:jc w:val="center"/>
            </w:pPr>
            <w:r>
              <w:rPr>
                <w:rFonts w:ascii="Times New Roman" w:eastAsia="Times New Roman" w:hAnsi="Times New Roman" w:cs="Times New Roman"/>
              </w:rPr>
              <w:t>годину</w:t>
            </w:r>
          </w:p>
        </w:tc>
        <w:tc>
          <w:tcPr>
            <w:tcW w:w="1485" w:type="dxa"/>
            <w:tcBorders>
              <w:top w:val="single" w:sz="12" w:space="0" w:color="000000"/>
              <w:left w:val="single" w:sz="6" w:space="0" w:color="CCCCCC"/>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jc w:val="center"/>
              <w:rPr>
                <w:rFonts w:ascii="Times New Roman" w:eastAsia="Times New Roman" w:hAnsi="Times New Roman" w:cs="Times New Roman"/>
              </w:rPr>
            </w:pPr>
            <w:r>
              <w:rPr>
                <w:rFonts w:ascii="Times New Roman" w:eastAsia="Times New Roman" w:hAnsi="Times New Roman" w:cs="Times New Roman"/>
              </w:rPr>
              <w:t>пројекција</w:t>
            </w:r>
          </w:p>
          <w:p w:rsidR="002020EB" w:rsidRDefault="005A7D68">
            <w:pPr>
              <w:pStyle w:val="normal0"/>
              <w:widowControl w:val="0"/>
              <w:spacing w:after="0"/>
              <w:jc w:val="center"/>
              <w:rPr>
                <w:rFonts w:ascii="Times New Roman" w:eastAsia="Times New Roman" w:hAnsi="Times New Roman" w:cs="Times New Roman"/>
              </w:rPr>
            </w:pPr>
            <w:r>
              <w:rPr>
                <w:rFonts w:ascii="Times New Roman" w:eastAsia="Times New Roman" w:hAnsi="Times New Roman" w:cs="Times New Roman"/>
              </w:rPr>
              <w:t>за 2020.</w:t>
            </w:r>
          </w:p>
          <w:p w:rsidR="002020EB" w:rsidRDefault="005A7D68">
            <w:pPr>
              <w:pStyle w:val="normal0"/>
              <w:widowControl w:val="0"/>
              <w:spacing w:after="0"/>
              <w:jc w:val="center"/>
            </w:pPr>
            <w:r>
              <w:rPr>
                <w:rFonts w:ascii="Times New Roman" w:eastAsia="Times New Roman" w:hAnsi="Times New Roman" w:cs="Times New Roman"/>
              </w:rPr>
              <w:t>годину</w:t>
            </w:r>
          </w:p>
        </w:tc>
        <w:tc>
          <w:tcPr>
            <w:tcW w:w="1530" w:type="dxa"/>
            <w:tcBorders>
              <w:top w:val="single" w:sz="12" w:space="0" w:color="000000"/>
              <w:left w:val="single" w:sz="6" w:space="0" w:color="CCCCCC"/>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jc w:val="center"/>
              <w:rPr>
                <w:rFonts w:ascii="Times New Roman" w:eastAsia="Times New Roman" w:hAnsi="Times New Roman" w:cs="Times New Roman"/>
              </w:rPr>
            </w:pPr>
            <w:r>
              <w:rPr>
                <w:rFonts w:ascii="Times New Roman" w:eastAsia="Times New Roman" w:hAnsi="Times New Roman" w:cs="Times New Roman"/>
              </w:rPr>
              <w:t>Пројекција за 2021.</w:t>
            </w:r>
          </w:p>
          <w:p w:rsidR="002020EB" w:rsidRDefault="005A7D68">
            <w:pPr>
              <w:pStyle w:val="normal0"/>
              <w:widowControl w:val="0"/>
              <w:spacing w:after="0"/>
              <w:jc w:val="center"/>
            </w:pPr>
            <w:r>
              <w:rPr>
                <w:rFonts w:ascii="Times New Roman" w:eastAsia="Times New Roman" w:hAnsi="Times New Roman" w:cs="Times New Roman"/>
              </w:rPr>
              <w:t>годину</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Пренета средства</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41.200.000,00</w:t>
            </w:r>
          </w:p>
        </w:tc>
        <w:tc>
          <w:tcPr>
            <w:tcW w:w="1560" w:type="dxa"/>
            <w:tcBorders>
              <w:top w:val="single" w:sz="6" w:space="0" w:color="CCCCCC"/>
              <w:left w:val="single" w:sz="6" w:space="0" w:color="CCCCCC"/>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35.000.000,00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35.000.000,00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35.000.000,00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711 Порези на доходак</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98.200.000,00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102.000.000,00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102.000.000,00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713 Порези на имовину</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39.000.000,00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40.500.000,00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41.000.000,00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41.000.000,00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714 Порези на добра и услуге</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23.650.000,00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23.700.000,00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24.000.000,00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24.000.000,00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716 Други порези</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6.100.000,00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6.100.000,00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6.500.000,00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6.500.000,00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733 Трансфери од других нивоа власти</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320.309.000,00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320.300.000,00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320.300.000,00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320.300.000,00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741 Приходи од имовине</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9.841.000,00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10.500.000,00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10.500.000,00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742 Продаја добара и услуга</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17.800.000,00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18.500.000,00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19.500.000,00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19.500.000,00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743 Новчане казне</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5.200.000,00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5.300.000,00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5.500.000,00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5.500.000,00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744 Добровољни трансфери</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5.000.000,00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4.500.000,00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4.500.000,00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745 Мешовити приходи</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1.000.000,00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1.300.000,00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1.300.000,00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770 Меморандумске ставке</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2.000.000,00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2.000.000,00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811 Примања од продаје непокретности</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100.000,00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130.000,00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130.000,00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130.000,00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921 Примања од отплате кредита</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3.000.000,00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2.000.000,00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center"/>
            </w:pPr>
            <w:r>
              <w:rPr>
                <w:rFonts w:ascii="Times New Roman" w:eastAsia="Times New Roman" w:hAnsi="Times New Roman" w:cs="Times New Roman"/>
              </w:rPr>
              <w:t>1.000.000,00</w:t>
            </w:r>
          </w:p>
        </w:tc>
      </w:tr>
      <w:tr w:rsidR="002020EB">
        <w:trPr>
          <w:trHeight w:val="300"/>
        </w:trPr>
        <w:tc>
          <w:tcPr>
            <w:tcW w:w="3195"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УКУПНО ПРИХОДИ И ПРИМАЊА</w:t>
            </w:r>
          </w:p>
        </w:tc>
        <w:tc>
          <w:tcPr>
            <w:tcW w:w="171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572.400.000,00</w:t>
            </w:r>
          </w:p>
        </w:tc>
        <w:tc>
          <w:tcPr>
            <w:tcW w:w="156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568.530.000,00</w:t>
            </w:r>
          </w:p>
        </w:tc>
        <w:tc>
          <w:tcPr>
            <w:tcW w:w="1485"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572.230.000,00</w:t>
            </w:r>
          </w:p>
        </w:tc>
        <w:tc>
          <w:tcPr>
            <w:tcW w:w="1530" w:type="dxa"/>
            <w:tcBorders>
              <w:top w:val="single" w:sz="6" w:space="0" w:color="CCCCCC"/>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jc w:val="right"/>
            </w:pPr>
            <w:r>
              <w:rPr>
                <w:rFonts w:ascii="Times New Roman" w:eastAsia="Times New Roman" w:hAnsi="Times New Roman" w:cs="Times New Roman"/>
              </w:rPr>
              <w:t>572.230.000,00</w:t>
            </w:r>
          </w:p>
        </w:tc>
      </w:tr>
    </w:tbl>
    <w:p w:rsidR="002020EB" w:rsidRDefault="002020EB">
      <w:pPr>
        <w:pStyle w:val="normal0"/>
        <w:spacing w:after="0" w:line="240" w:lineRule="auto"/>
        <w:ind w:firstLine="708"/>
        <w:jc w:val="both"/>
        <w:rPr>
          <w:rFonts w:ascii="Times New Roman" w:eastAsia="Times New Roman" w:hAnsi="Times New Roman" w:cs="Times New Roman"/>
        </w:rPr>
      </w:pPr>
    </w:p>
    <w:p w:rsidR="002020EB" w:rsidRDefault="002020EB">
      <w:pPr>
        <w:pStyle w:val="normal0"/>
        <w:spacing w:after="0" w:line="240" w:lineRule="auto"/>
        <w:rPr>
          <w:rFonts w:ascii="Times New Roman" w:eastAsia="Times New Roman" w:hAnsi="Times New Roman" w:cs="Times New Roman"/>
        </w:rPr>
      </w:pPr>
    </w:p>
    <w:p w:rsidR="001C1F88" w:rsidRDefault="005A7D68" w:rsidP="001C1F88">
      <w:pPr>
        <w:pStyle w:val="normal0"/>
        <w:spacing w:after="0" w:line="240" w:lineRule="auto"/>
        <w:jc w:val="both"/>
        <w:rPr>
          <w:rFonts w:ascii="Times New Roman" w:eastAsia="Times New Roman" w:hAnsi="Times New Roman" w:cs="Times New Roman"/>
          <w:u w:val="single"/>
        </w:rPr>
      </w:pPr>
      <w:r>
        <w:t xml:space="preserve">         </w:t>
      </w:r>
      <w:r w:rsidR="001C1F88">
        <w:rPr>
          <w:rFonts w:ascii="Times New Roman" w:eastAsia="Times New Roman" w:hAnsi="Times New Roman" w:cs="Times New Roman"/>
          <w:u w:val="single"/>
        </w:rPr>
        <w:t>Планирани приходи не обухватају приходе из осталих извора финансирања, као ни приходе од дугорочног задуживања код пословних банака.</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C1F88">
        <w:rPr>
          <w:rFonts w:ascii="Times New Roman" w:eastAsia="Times New Roman" w:hAnsi="Times New Roman" w:cs="Times New Roman"/>
        </w:rPr>
        <w:t xml:space="preserve">       У </w:t>
      </w:r>
      <w:r>
        <w:rPr>
          <w:rFonts w:ascii="Times New Roman" w:eastAsia="Times New Roman" w:hAnsi="Times New Roman" w:cs="Times New Roman"/>
        </w:rPr>
        <w:t xml:space="preserve">складу са последњим изменама Закона о финансирању локалне самоуправе  смањен је приход од пореза на зараде. Накнада за заштиту и унапређење животне средине је у 2018. години смањена за 30% Одлуком СО.  Ненаменски трансфер од Републике у 2018. години остао је на истом нивоу  као и  2017. године. Тако се и планира за наредни период. Нов  начин обрачуна пореза на имовину и ново зонирање , увођење опорезивања земљишта и повећање броја пореских обвезника  омогућиће повећање прихода буџета по овом основу у наредном периоду. Приходи од закупа бележе тренд повећања.Остали локални приходи планирају се у складу са важећим Одлукама. </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Кретање расхода у периоду 2019. до 2021.године биће одређено динамиком спровођења мера фискалне консолидације. У том смислу, наставиће се са смањењем учешћа јавне потрошње, нарочито  заустављање раста текућих трошкова пословања (класа 42), вршиће се приоритетно исплата неизмирених обавеза из претходног периода, а остатак средстава  усмериће се на капитална  улагања. Ниво средстава који ће преостати за капиталне пројекте у директној је зависности од висине посебних ненаменских трансфера за 2019.</w:t>
      </w:r>
      <w:r w:rsidR="001C1F88">
        <w:rPr>
          <w:rFonts w:ascii="Times New Roman" w:eastAsia="Times New Roman" w:hAnsi="Times New Roman" w:cs="Times New Roman"/>
        </w:rPr>
        <w:t>годину</w:t>
      </w:r>
      <w:r>
        <w:rPr>
          <w:rFonts w:ascii="Times New Roman" w:eastAsia="Times New Roman" w:hAnsi="Times New Roman" w:cs="Times New Roman"/>
        </w:rPr>
        <w:t>, оствареног нивоа уштеда у делу текућег пословања свих буџетских корисника и дугорочног задуживања код пословних банака.</w:t>
      </w:r>
    </w:p>
    <w:p w:rsidR="001C1F88" w:rsidRDefault="001C1F88">
      <w:pPr>
        <w:pStyle w:val="normal0"/>
        <w:spacing w:after="0" w:line="240" w:lineRule="auto"/>
        <w:jc w:val="both"/>
        <w:rPr>
          <w:rFonts w:ascii="Times New Roman" w:eastAsia="Times New Roman" w:hAnsi="Times New Roman" w:cs="Times New Roman"/>
        </w:rPr>
      </w:pPr>
    </w:p>
    <w:p w:rsidR="001C1F88" w:rsidRDefault="001C1F88">
      <w:pPr>
        <w:pStyle w:val="normal0"/>
        <w:spacing w:after="0" w:line="240" w:lineRule="auto"/>
        <w:jc w:val="both"/>
        <w:rPr>
          <w:rFonts w:ascii="Times New Roman" w:eastAsia="Times New Roman" w:hAnsi="Times New Roman" w:cs="Times New Roman"/>
        </w:rPr>
      </w:pPr>
    </w:p>
    <w:p w:rsidR="001C1F88" w:rsidRDefault="001C1F88">
      <w:pPr>
        <w:pStyle w:val="normal0"/>
        <w:spacing w:after="0" w:line="240" w:lineRule="auto"/>
        <w:jc w:val="both"/>
        <w:rPr>
          <w:rFonts w:ascii="Times New Roman" w:eastAsia="Times New Roman" w:hAnsi="Times New Roman" w:cs="Times New Roman"/>
        </w:rPr>
      </w:pPr>
    </w:p>
    <w:p w:rsidR="001C1F88" w:rsidRPr="001C1F88" w:rsidRDefault="001C1F88">
      <w:pPr>
        <w:pStyle w:val="normal0"/>
        <w:spacing w:after="0" w:line="240" w:lineRule="auto"/>
        <w:jc w:val="both"/>
        <w:rPr>
          <w:rFonts w:ascii="Times New Roman" w:eastAsia="Times New Roman" w:hAnsi="Times New Roman" w:cs="Times New Roman"/>
        </w:rPr>
      </w:pPr>
    </w:p>
    <w:tbl>
      <w:tblPr>
        <w:tblStyle w:val="a1"/>
        <w:tblW w:w="9540" w:type="dxa"/>
        <w:tblInd w:w="-60" w:type="dxa"/>
        <w:tblBorders>
          <w:top w:val="nil"/>
          <w:left w:val="nil"/>
          <w:bottom w:val="nil"/>
          <w:right w:val="nil"/>
          <w:insideH w:val="nil"/>
          <w:insideV w:val="nil"/>
        </w:tblBorders>
        <w:tblLayout w:type="fixed"/>
        <w:tblLook w:val="0600"/>
      </w:tblPr>
      <w:tblGrid>
        <w:gridCol w:w="640"/>
        <w:gridCol w:w="2390"/>
        <w:gridCol w:w="1650"/>
        <w:gridCol w:w="1650"/>
        <w:gridCol w:w="1620"/>
        <w:gridCol w:w="1590"/>
      </w:tblGrid>
      <w:tr w:rsidR="002020EB" w:rsidTr="001C1F88">
        <w:trPr>
          <w:trHeight w:val="300"/>
        </w:trPr>
        <w:tc>
          <w:tcPr>
            <w:tcW w:w="640" w:type="dxa"/>
            <w:vMerge w:val="restart"/>
            <w:tcBorders>
              <w:top w:val="single" w:sz="4" w:space="0" w:color="auto"/>
              <w:left w:val="single" w:sz="4" w:space="0" w:color="auto"/>
              <w:bottom w:val="single" w:sz="12" w:space="0" w:color="000000"/>
              <w:right w:val="single" w:sz="12" w:space="0" w:color="000000"/>
            </w:tcBorders>
            <w:tcMar>
              <w:top w:w="0" w:type="dxa"/>
              <w:left w:w="40" w:type="dxa"/>
              <w:bottom w:w="0" w:type="dxa"/>
              <w:right w:w="40" w:type="dxa"/>
            </w:tcMar>
          </w:tcPr>
          <w:p w:rsidR="002020EB" w:rsidRPr="001C1F88" w:rsidRDefault="005A7D68">
            <w:pPr>
              <w:pStyle w:val="normal0"/>
              <w:widowControl w:val="0"/>
              <w:pBdr>
                <w:top w:val="nil"/>
                <w:left w:val="nil"/>
                <w:bottom w:val="nil"/>
                <w:right w:val="nil"/>
                <w:between w:val="nil"/>
              </w:pBdr>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lastRenderedPageBreak/>
              <w:t>Ек.клас.</w:t>
            </w:r>
          </w:p>
        </w:tc>
        <w:tc>
          <w:tcPr>
            <w:tcW w:w="2390" w:type="dxa"/>
            <w:vMerge w:val="restart"/>
            <w:tcBorders>
              <w:top w:val="single" w:sz="4" w:space="0" w:color="auto"/>
              <w:left w:val="single" w:sz="6" w:space="0" w:color="CCCCCC"/>
              <w:bottom w:val="single" w:sz="12" w:space="0" w:color="000000"/>
              <w:right w:val="single" w:sz="12" w:space="0" w:color="000000"/>
            </w:tcBorders>
            <w:tcMar>
              <w:top w:w="0" w:type="dxa"/>
              <w:left w:w="40" w:type="dxa"/>
              <w:bottom w:w="0" w:type="dxa"/>
              <w:right w:w="40" w:type="dxa"/>
            </w:tcMar>
          </w:tcPr>
          <w:p w:rsidR="002020EB" w:rsidRPr="001C1F88" w:rsidRDefault="005A7D6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Расходи и и издаци</w:t>
            </w:r>
          </w:p>
        </w:tc>
        <w:tc>
          <w:tcPr>
            <w:tcW w:w="1650" w:type="dxa"/>
            <w:tcBorders>
              <w:top w:val="single" w:sz="4" w:space="0" w:color="auto"/>
              <w:left w:val="single" w:sz="6" w:space="0" w:color="CCCCCC"/>
              <w:bottom w:val="single" w:sz="6" w:space="0" w:color="CCCCCC"/>
              <w:right w:val="single" w:sz="12" w:space="0" w:color="000000"/>
            </w:tcBorders>
            <w:tcMar>
              <w:top w:w="0" w:type="dxa"/>
              <w:left w:w="40" w:type="dxa"/>
              <w:bottom w:w="0" w:type="dxa"/>
              <w:right w:w="4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Процена за</w:t>
            </w:r>
          </w:p>
        </w:tc>
        <w:tc>
          <w:tcPr>
            <w:tcW w:w="1650" w:type="dxa"/>
            <w:tcBorders>
              <w:top w:val="single" w:sz="4" w:space="0" w:color="auto"/>
              <w:left w:val="single" w:sz="6" w:space="0" w:color="CCCCCC"/>
              <w:bottom w:val="single" w:sz="6" w:space="0" w:color="CCCCCC"/>
              <w:right w:val="single" w:sz="12" w:space="0" w:color="000000"/>
            </w:tcBorders>
            <w:tcMar>
              <w:top w:w="0" w:type="dxa"/>
              <w:left w:w="40" w:type="dxa"/>
              <w:bottom w:w="0" w:type="dxa"/>
              <w:right w:w="4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Пројекција</w:t>
            </w:r>
            <w:r w:rsidR="001C1F88" w:rsidRPr="001C1F88">
              <w:rPr>
                <w:rFonts w:ascii="Times New Roman" w:eastAsia="Times New Roman" w:hAnsi="Times New Roman" w:cs="Times New Roman"/>
                <w:sz w:val="24"/>
                <w:szCs w:val="24"/>
              </w:rPr>
              <w:t xml:space="preserve"> за</w:t>
            </w:r>
          </w:p>
        </w:tc>
        <w:tc>
          <w:tcPr>
            <w:tcW w:w="1620" w:type="dxa"/>
            <w:tcBorders>
              <w:top w:val="single" w:sz="4" w:space="0" w:color="auto"/>
              <w:left w:val="single" w:sz="6" w:space="0" w:color="CCCCCC"/>
              <w:bottom w:val="single" w:sz="6" w:space="0" w:color="CCCCCC"/>
              <w:right w:val="single" w:sz="12" w:space="0" w:color="000000"/>
            </w:tcBorders>
            <w:tcMar>
              <w:top w:w="0" w:type="dxa"/>
              <w:left w:w="40" w:type="dxa"/>
              <w:bottom w:w="0" w:type="dxa"/>
              <w:right w:w="4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Пројек</w:t>
            </w:r>
            <w:r w:rsidR="001C1F88" w:rsidRPr="001C1F88">
              <w:rPr>
                <w:rFonts w:ascii="Times New Roman" w:eastAsia="Times New Roman" w:hAnsi="Times New Roman" w:cs="Times New Roman"/>
                <w:sz w:val="24"/>
                <w:szCs w:val="24"/>
              </w:rPr>
              <w:t>ц</w:t>
            </w:r>
            <w:r w:rsidRPr="001C1F88">
              <w:rPr>
                <w:rFonts w:ascii="Times New Roman" w:eastAsia="Times New Roman" w:hAnsi="Times New Roman" w:cs="Times New Roman"/>
                <w:sz w:val="24"/>
                <w:szCs w:val="24"/>
              </w:rPr>
              <w:t>ија</w:t>
            </w:r>
            <w:r w:rsidR="001C1F88" w:rsidRPr="001C1F88">
              <w:rPr>
                <w:rFonts w:ascii="Times New Roman" w:eastAsia="Times New Roman" w:hAnsi="Times New Roman" w:cs="Times New Roman"/>
                <w:sz w:val="24"/>
                <w:szCs w:val="24"/>
              </w:rPr>
              <w:t xml:space="preserve"> за</w:t>
            </w:r>
          </w:p>
        </w:tc>
        <w:tc>
          <w:tcPr>
            <w:tcW w:w="1590" w:type="dxa"/>
            <w:tcBorders>
              <w:top w:val="single" w:sz="4" w:space="0" w:color="auto"/>
              <w:left w:val="single" w:sz="6" w:space="0" w:color="CCCCCC"/>
              <w:bottom w:val="single" w:sz="6" w:space="0" w:color="CCCCCC"/>
              <w:right w:val="single" w:sz="4" w:space="0" w:color="auto"/>
            </w:tcBorders>
            <w:tcMar>
              <w:top w:w="0" w:type="dxa"/>
              <w:left w:w="40" w:type="dxa"/>
              <w:bottom w:w="0" w:type="dxa"/>
              <w:right w:w="4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Пројекција</w:t>
            </w:r>
            <w:r w:rsidR="001C1F88">
              <w:rPr>
                <w:rFonts w:ascii="Times New Roman" w:eastAsia="Times New Roman" w:hAnsi="Times New Roman" w:cs="Times New Roman"/>
                <w:sz w:val="24"/>
                <w:szCs w:val="24"/>
              </w:rPr>
              <w:t xml:space="preserve"> за</w:t>
            </w:r>
          </w:p>
        </w:tc>
      </w:tr>
      <w:tr w:rsidR="002020EB" w:rsidTr="001C1F88">
        <w:trPr>
          <w:trHeight w:val="300"/>
        </w:trPr>
        <w:tc>
          <w:tcPr>
            <w:tcW w:w="640" w:type="dxa"/>
            <w:vMerge/>
            <w:tcBorders>
              <w:left w:val="single" w:sz="4" w:space="0" w:color="auto"/>
              <w:bottom w:val="single" w:sz="12" w:space="0" w:color="000000"/>
              <w:right w:val="single" w:sz="12" w:space="0" w:color="000000"/>
            </w:tcBorders>
            <w:shd w:val="clear" w:color="auto" w:fill="auto"/>
            <w:tcMar>
              <w:top w:w="100" w:type="dxa"/>
              <w:left w:w="100" w:type="dxa"/>
              <w:bottom w:w="100" w:type="dxa"/>
              <w:right w:w="100" w:type="dxa"/>
            </w:tcMar>
          </w:tcPr>
          <w:p w:rsidR="002020EB" w:rsidRPr="001C1F88" w:rsidRDefault="002020EB">
            <w:pPr>
              <w:pStyle w:val="normal0"/>
              <w:widowControl w:val="0"/>
              <w:spacing w:after="0"/>
            </w:pPr>
          </w:p>
        </w:tc>
        <w:tc>
          <w:tcPr>
            <w:tcW w:w="2390" w:type="dxa"/>
            <w:vMerge/>
            <w:tcBorders>
              <w:bottom w:val="single" w:sz="12" w:space="0" w:color="000000"/>
              <w:right w:val="single" w:sz="12" w:space="0" w:color="000000"/>
            </w:tcBorders>
            <w:shd w:val="clear" w:color="auto" w:fill="auto"/>
            <w:tcMar>
              <w:top w:w="100" w:type="dxa"/>
              <w:left w:w="100" w:type="dxa"/>
              <w:bottom w:w="100" w:type="dxa"/>
              <w:right w:w="100" w:type="dxa"/>
            </w:tcMar>
          </w:tcPr>
          <w:p w:rsidR="002020EB" w:rsidRPr="001C1F88" w:rsidRDefault="002020EB">
            <w:pPr>
              <w:pStyle w:val="normal0"/>
              <w:widowControl w:val="0"/>
              <w:spacing w:after="0"/>
            </w:pP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2018</w:t>
            </w:r>
            <w:r w:rsidR="001C1F88" w:rsidRPr="001C1F88">
              <w:rPr>
                <w:rFonts w:ascii="Times New Roman" w:eastAsia="Times New Roman" w:hAnsi="Times New Roman" w:cs="Times New Roman"/>
                <w:sz w:val="24"/>
                <w:szCs w:val="24"/>
              </w:rPr>
              <w:t>. годину</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100" w:type="dxa"/>
              <w:bottom w:w="0" w:type="dxa"/>
              <w:right w:w="10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2019</w:t>
            </w:r>
            <w:r w:rsidR="001C1F88">
              <w:rPr>
                <w:rFonts w:ascii="Times New Roman" w:eastAsia="Times New Roman" w:hAnsi="Times New Roman" w:cs="Times New Roman"/>
                <w:sz w:val="24"/>
                <w:szCs w:val="24"/>
              </w:rPr>
              <w:t>.годину</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100" w:type="dxa"/>
              <w:bottom w:w="0" w:type="dxa"/>
              <w:right w:w="10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2020</w:t>
            </w:r>
            <w:r w:rsidR="001C1F88">
              <w:rPr>
                <w:rFonts w:ascii="Times New Roman" w:eastAsia="Times New Roman" w:hAnsi="Times New Roman" w:cs="Times New Roman"/>
                <w:sz w:val="24"/>
                <w:szCs w:val="24"/>
              </w:rPr>
              <w:t>.годину</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100" w:type="dxa"/>
              <w:bottom w:w="0" w:type="dxa"/>
              <w:right w:w="100" w:type="dxa"/>
            </w:tcMar>
          </w:tcPr>
          <w:p w:rsidR="002020EB" w:rsidRPr="001C1F88" w:rsidRDefault="005A7D68">
            <w:pPr>
              <w:pStyle w:val="normal0"/>
              <w:widowControl w:val="0"/>
              <w:spacing w:after="0"/>
            </w:pPr>
            <w:r w:rsidRPr="001C1F88">
              <w:rPr>
                <w:rFonts w:ascii="Times New Roman" w:eastAsia="Times New Roman" w:hAnsi="Times New Roman" w:cs="Times New Roman"/>
                <w:sz w:val="24"/>
                <w:szCs w:val="24"/>
              </w:rPr>
              <w:t>2021</w:t>
            </w:r>
            <w:r w:rsidR="001C1F88">
              <w:rPr>
                <w:rFonts w:ascii="Times New Roman" w:eastAsia="Times New Roman" w:hAnsi="Times New Roman" w:cs="Times New Roman"/>
                <w:sz w:val="24"/>
                <w:szCs w:val="24"/>
              </w:rPr>
              <w:t>. годину</w:t>
            </w:r>
          </w:p>
        </w:tc>
      </w:tr>
      <w:tr w:rsidR="002020EB" w:rsidTr="001C1F88">
        <w:trPr>
          <w:trHeight w:val="56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410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Расходи за запослене</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114.957.000,00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115.000.000,00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116.000.000,00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116.000.000,00</w:t>
            </w:r>
          </w:p>
        </w:tc>
      </w:tr>
      <w:tr w:rsidR="002020EB" w:rsidTr="001C1F88">
        <w:trPr>
          <w:trHeight w:val="56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420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Кор.робе и услуга</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185.715.000,00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188.000.000,00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190.000.000,00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190.000.000,00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440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Отплата камате</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65.000,00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65.000,00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70.000,00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70.000,00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450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Субвенције</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7.416.000,00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7.400.000,00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7.500.000,00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7.500.000,00</w:t>
            </w:r>
          </w:p>
        </w:tc>
      </w:tr>
      <w:tr w:rsidR="002020EB" w:rsidTr="001C1F88">
        <w:trPr>
          <w:trHeight w:val="56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460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Донације и трансфери</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108.647.000,00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109.000.000,00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110.500.000,00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110.500.000,00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470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Мере соц</w:t>
            </w:r>
            <w:r w:rsidR="001C1F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политике</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15.743.000,00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16.000.000,00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16.500.000,00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16.500.000,00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480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Остали расходи</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41.082.000,00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41.000.000,00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41.000.000,00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41.000.000,00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490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Средства резерви</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1.200.000,00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2.000.000,00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2.000.000,00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2.000.000,00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510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Основна средства</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94.675.000,00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87.165.000,00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86.160.000,00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86.160.000,00</w:t>
            </w:r>
          </w:p>
        </w:tc>
      </w:tr>
      <w:tr w:rsidR="002020EB" w:rsidTr="001C1F88">
        <w:trPr>
          <w:trHeight w:val="300"/>
        </w:trPr>
        <w:tc>
          <w:tcPr>
            <w:tcW w:w="640" w:type="dxa"/>
            <w:tcBorders>
              <w:top w:val="single" w:sz="6" w:space="0" w:color="CCCCCC"/>
              <w:left w:val="single" w:sz="4" w:space="0" w:color="auto"/>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540</w:t>
            </w:r>
          </w:p>
        </w:tc>
        <w:tc>
          <w:tcPr>
            <w:tcW w:w="23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pPr>
            <w:r>
              <w:rPr>
                <w:rFonts w:ascii="Times New Roman" w:eastAsia="Times New Roman" w:hAnsi="Times New Roman" w:cs="Times New Roman"/>
                <w:sz w:val="24"/>
                <w:szCs w:val="24"/>
              </w:rPr>
              <w:t>Набавка земљишта</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2.900.000,00</w:t>
            </w:r>
          </w:p>
        </w:tc>
        <w:tc>
          <w:tcPr>
            <w:tcW w:w="165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2.900.000,00</w:t>
            </w:r>
          </w:p>
        </w:tc>
        <w:tc>
          <w:tcPr>
            <w:tcW w:w="162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2.500.000,00</w:t>
            </w:r>
          </w:p>
        </w:tc>
        <w:tc>
          <w:tcPr>
            <w:tcW w:w="1590" w:type="dxa"/>
            <w:tcBorders>
              <w:top w:val="single" w:sz="6" w:space="0" w:color="CCCCCC"/>
              <w:left w:val="single" w:sz="6" w:space="0" w:color="CCCCCC"/>
              <w:bottom w:val="single" w:sz="12" w:space="0" w:color="000000"/>
              <w:right w:val="single" w:sz="4" w:space="0" w:color="auto"/>
            </w:tcBorders>
            <w:shd w:val="clear" w:color="auto" w:fill="auto"/>
            <w:tcMar>
              <w:top w:w="0" w:type="dxa"/>
              <w:left w:w="40" w:type="dxa"/>
              <w:bottom w:w="0" w:type="dxa"/>
              <w:right w:w="40" w:type="dxa"/>
            </w:tcMar>
          </w:tcPr>
          <w:p w:rsidR="002020EB" w:rsidRDefault="005A7D68">
            <w:pPr>
              <w:pStyle w:val="normal0"/>
              <w:widowControl w:val="0"/>
              <w:spacing w:after="0"/>
              <w:jc w:val="right"/>
            </w:pPr>
            <w:r>
              <w:rPr>
                <w:rFonts w:ascii="Times New Roman" w:eastAsia="Times New Roman" w:hAnsi="Times New Roman" w:cs="Times New Roman"/>
                <w:sz w:val="24"/>
                <w:szCs w:val="24"/>
              </w:rPr>
              <w:t>2.500.000,00</w:t>
            </w:r>
          </w:p>
        </w:tc>
      </w:tr>
      <w:tr w:rsidR="002020EB" w:rsidRPr="001C1F88" w:rsidTr="001C1F88">
        <w:trPr>
          <w:trHeight w:val="300"/>
        </w:trPr>
        <w:tc>
          <w:tcPr>
            <w:tcW w:w="640" w:type="dxa"/>
            <w:vMerge w:val="restart"/>
            <w:tcBorders>
              <w:top w:val="single" w:sz="6" w:space="0" w:color="CCCCCC"/>
              <w:left w:val="single" w:sz="4" w:space="0" w:color="auto"/>
              <w:bottom w:val="single" w:sz="4" w:space="0" w:color="auto"/>
              <w:right w:val="single" w:sz="12" w:space="0" w:color="000000"/>
            </w:tcBorders>
            <w:shd w:val="clear" w:color="auto" w:fill="auto"/>
            <w:tcMar>
              <w:top w:w="0" w:type="dxa"/>
              <w:left w:w="40" w:type="dxa"/>
              <w:bottom w:w="0" w:type="dxa"/>
              <w:right w:w="40" w:type="dxa"/>
            </w:tcMar>
          </w:tcPr>
          <w:p w:rsidR="002020EB" w:rsidRPr="001C1F88" w:rsidRDefault="002020EB">
            <w:pPr>
              <w:pStyle w:val="normal0"/>
              <w:widowControl w:val="0"/>
              <w:spacing w:after="0"/>
              <w:rPr>
                <w:rFonts w:ascii="Times New Roman" w:eastAsia="Times New Roman" w:hAnsi="Times New Roman" w:cs="Times New Roman"/>
                <w:sz w:val="24"/>
                <w:szCs w:val="24"/>
              </w:rPr>
            </w:pPr>
          </w:p>
        </w:tc>
        <w:tc>
          <w:tcPr>
            <w:tcW w:w="2390" w:type="dxa"/>
            <w:tcBorders>
              <w:top w:val="single" w:sz="6" w:space="0" w:color="CCCCCC"/>
              <w:left w:val="single" w:sz="6" w:space="0" w:color="CCCCCC"/>
              <w:bottom w:val="single" w:sz="4" w:space="0" w:color="auto"/>
              <w:right w:val="single" w:sz="12" w:space="0" w:color="000000"/>
            </w:tcBorders>
            <w:shd w:val="clear" w:color="auto" w:fill="auto"/>
            <w:tcMar>
              <w:top w:w="0" w:type="dxa"/>
              <w:left w:w="40" w:type="dxa"/>
              <w:bottom w:w="0" w:type="dxa"/>
              <w:right w:w="40" w:type="dxa"/>
            </w:tcMar>
          </w:tcPr>
          <w:p w:rsidR="002020EB" w:rsidRPr="001C1F88" w:rsidRDefault="001C1F8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 xml:space="preserve">УКУНО РАСХОДИ И </w:t>
            </w:r>
          </w:p>
        </w:tc>
        <w:tc>
          <w:tcPr>
            <w:tcW w:w="1650" w:type="dxa"/>
            <w:vMerge w:val="restart"/>
            <w:tcBorders>
              <w:top w:val="single" w:sz="6" w:space="0" w:color="CCCCCC"/>
              <w:left w:val="single" w:sz="6" w:space="0" w:color="CCCCCC"/>
              <w:bottom w:val="single" w:sz="4" w:space="0" w:color="auto"/>
              <w:right w:val="single" w:sz="12" w:space="0" w:color="000000"/>
            </w:tcBorders>
            <w:shd w:val="clear" w:color="auto" w:fill="auto"/>
            <w:tcMar>
              <w:top w:w="0" w:type="dxa"/>
              <w:left w:w="40" w:type="dxa"/>
              <w:bottom w:w="0" w:type="dxa"/>
              <w:right w:w="40" w:type="dxa"/>
            </w:tcMar>
          </w:tcPr>
          <w:p w:rsidR="002020EB" w:rsidRPr="001C1F88" w:rsidRDefault="005A7D68" w:rsidP="001C1F8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572.400.000,00</w:t>
            </w:r>
          </w:p>
        </w:tc>
        <w:tc>
          <w:tcPr>
            <w:tcW w:w="1650" w:type="dxa"/>
            <w:vMerge w:val="restart"/>
            <w:tcBorders>
              <w:top w:val="single" w:sz="6" w:space="0" w:color="CCCCCC"/>
              <w:left w:val="single" w:sz="6" w:space="0" w:color="CCCCCC"/>
              <w:bottom w:val="single" w:sz="4" w:space="0" w:color="auto"/>
              <w:right w:val="single" w:sz="12" w:space="0" w:color="000000"/>
            </w:tcBorders>
            <w:shd w:val="clear" w:color="auto" w:fill="auto"/>
            <w:tcMar>
              <w:top w:w="0" w:type="dxa"/>
              <w:left w:w="40" w:type="dxa"/>
              <w:bottom w:w="0" w:type="dxa"/>
              <w:right w:w="40" w:type="dxa"/>
            </w:tcMar>
          </w:tcPr>
          <w:p w:rsidR="002020EB" w:rsidRPr="001C1F88" w:rsidRDefault="005A7D68" w:rsidP="001C1F8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568.530.000,00</w:t>
            </w:r>
          </w:p>
        </w:tc>
        <w:tc>
          <w:tcPr>
            <w:tcW w:w="1620" w:type="dxa"/>
            <w:vMerge w:val="restart"/>
            <w:tcBorders>
              <w:top w:val="single" w:sz="6" w:space="0" w:color="CCCCCC"/>
              <w:left w:val="single" w:sz="6" w:space="0" w:color="CCCCCC"/>
              <w:bottom w:val="single" w:sz="4" w:space="0" w:color="auto"/>
              <w:right w:val="single" w:sz="12" w:space="0" w:color="000000"/>
            </w:tcBorders>
            <w:shd w:val="clear" w:color="auto" w:fill="auto"/>
            <w:tcMar>
              <w:top w:w="0" w:type="dxa"/>
              <w:left w:w="40" w:type="dxa"/>
              <w:bottom w:w="0" w:type="dxa"/>
              <w:right w:w="40" w:type="dxa"/>
            </w:tcMar>
          </w:tcPr>
          <w:p w:rsidR="002020EB" w:rsidRPr="001C1F88" w:rsidRDefault="005A7D68" w:rsidP="001C1F8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572.230.000,00</w:t>
            </w:r>
          </w:p>
        </w:tc>
        <w:tc>
          <w:tcPr>
            <w:tcW w:w="1590" w:type="dxa"/>
            <w:vMerge w:val="restart"/>
            <w:tcBorders>
              <w:top w:val="single" w:sz="6" w:space="0" w:color="CCCCCC"/>
              <w:left w:val="single" w:sz="6" w:space="0" w:color="CCCCCC"/>
              <w:bottom w:val="single" w:sz="4" w:space="0" w:color="auto"/>
              <w:right w:val="single" w:sz="4" w:space="0" w:color="auto"/>
            </w:tcBorders>
            <w:shd w:val="clear" w:color="auto" w:fill="auto"/>
            <w:tcMar>
              <w:top w:w="0" w:type="dxa"/>
              <w:left w:w="40" w:type="dxa"/>
              <w:bottom w:w="0" w:type="dxa"/>
              <w:right w:w="40" w:type="dxa"/>
            </w:tcMar>
          </w:tcPr>
          <w:p w:rsidR="002020EB" w:rsidRPr="001C1F88" w:rsidRDefault="005A7D68" w:rsidP="001C1F8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572.230.000,00</w:t>
            </w:r>
          </w:p>
        </w:tc>
      </w:tr>
      <w:tr w:rsidR="002020EB" w:rsidRPr="001C1F88" w:rsidTr="001C1F88">
        <w:trPr>
          <w:trHeight w:val="300"/>
        </w:trPr>
        <w:tc>
          <w:tcPr>
            <w:tcW w:w="640" w:type="dxa"/>
            <w:vMerge/>
            <w:tcBorders>
              <w:top w:val="single" w:sz="4" w:space="0" w:color="auto"/>
              <w:left w:val="single" w:sz="4" w:space="0" w:color="auto"/>
              <w:bottom w:val="single" w:sz="4" w:space="0" w:color="auto"/>
              <w:right w:val="single" w:sz="12" w:space="0" w:color="000000"/>
            </w:tcBorders>
            <w:shd w:val="clear" w:color="auto" w:fill="auto"/>
            <w:tcMar>
              <w:top w:w="100" w:type="dxa"/>
              <w:left w:w="100" w:type="dxa"/>
              <w:bottom w:w="100" w:type="dxa"/>
              <w:right w:w="100" w:type="dxa"/>
            </w:tcMar>
          </w:tcPr>
          <w:p w:rsidR="002020EB" w:rsidRPr="001C1F88" w:rsidRDefault="002020EB">
            <w:pPr>
              <w:pStyle w:val="normal0"/>
              <w:widowControl w:val="0"/>
              <w:spacing w:after="0"/>
              <w:rPr>
                <w:rFonts w:ascii="Times New Roman" w:eastAsia="Times New Roman" w:hAnsi="Times New Roman" w:cs="Times New Roman"/>
                <w:sz w:val="24"/>
                <w:szCs w:val="24"/>
              </w:rPr>
            </w:pPr>
          </w:p>
        </w:tc>
        <w:tc>
          <w:tcPr>
            <w:tcW w:w="2390" w:type="dxa"/>
            <w:tcBorders>
              <w:top w:val="single" w:sz="4" w:space="0" w:color="auto"/>
              <w:left w:val="single" w:sz="6" w:space="0" w:color="CCCCCC"/>
              <w:bottom w:val="single" w:sz="4" w:space="0" w:color="auto"/>
              <w:right w:val="single" w:sz="12" w:space="0" w:color="000000"/>
            </w:tcBorders>
            <w:shd w:val="clear" w:color="auto" w:fill="auto"/>
            <w:tcMar>
              <w:top w:w="0" w:type="dxa"/>
              <w:left w:w="40" w:type="dxa"/>
              <w:bottom w:w="0" w:type="dxa"/>
              <w:right w:w="40" w:type="dxa"/>
            </w:tcMar>
          </w:tcPr>
          <w:p w:rsidR="002020EB" w:rsidRPr="001C1F88" w:rsidRDefault="001C1F88">
            <w:pPr>
              <w:pStyle w:val="normal0"/>
              <w:widowControl w:val="0"/>
              <w:spacing w:after="0"/>
              <w:rPr>
                <w:rFonts w:ascii="Times New Roman" w:eastAsia="Times New Roman" w:hAnsi="Times New Roman" w:cs="Times New Roman"/>
                <w:sz w:val="24"/>
                <w:szCs w:val="24"/>
              </w:rPr>
            </w:pPr>
            <w:r w:rsidRPr="001C1F88">
              <w:rPr>
                <w:rFonts w:ascii="Times New Roman" w:eastAsia="Times New Roman" w:hAnsi="Times New Roman" w:cs="Times New Roman"/>
                <w:sz w:val="24"/>
                <w:szCs w:val="24"/>
              </w:rPr>
              <w:t>ИЗДАЦИ</w:t>
            </w:r>
          </w:p>
        </w:tc>
        <w:tc>
          <w:tcPr>
            <w:tcW w:w="1650" w:type="dxa"/>
            <w:vMerge/>
            <w:tcBorders>
              <w:top w:val="single" w:sz="4" w:space="0" w:color="auto"/>
              <w:bottom w:val="single" w:sz="4" w:space="0" w:color="auto"/>
              <w:right w:val="single" w:sz="12" w:space="0" w:color="000000"/>
            </w:tcBorders>
            <w:shd w:val="clear" w:color="auto" w:fill="auto"/>
            <w:tcMar>
              <w:top w:w="100" w:type="dxa"/>
              <w:left w:w="100" w:type="dxa"/>
              <w:bottom w:w="100" w:type="dxa"/>
              <w:right w:w="100" w:type="dxa"/>
            </w:tcMar>
          </w:tcPr>
          <w:p w:rsidR="002020EB" w:rsidRPr="001C1F88" w:rsidRDefault="002020EB">
            <w:pPr>
              <w:pStyle w:val="normal0"/>
              <w:widowControl w:val="0"/>
              <w:spacing w:after="0"/>
              <w:rPr>
                <w:rFonts w:ascii="Times New Roman" w:eastAsia="Times New Roman" w:hAnsi="Times New Roman" w:cs="Times New Roman"/>
                <w:sz w:val="24"/>
                <w:szCs w:val="24"/>
              </w:rPr>
            </w:pPr>
          </w:p>
        </w:tc>
        <w:tc>
          <w:tcPr>
            <w:tcW w:w="1650" w:type="dxa"/>
            <w:vMerge/>
            <w:tcBorders>
              <w:top w:val="single" w:sz="4" w:space="0" w:color="auto"/>
              <w:bottom w:val="single" w:sz="4" w:space="0" w:color="auto"/>
              <w:right w:val="single" w:sz="12" w:space="0" w:color="000000"/>
            </w:tcBorders>
            <w:shd w:val="clear" w:color="auto" w:fill="auto"/>
            <w:tcMar>
              <w:top w:w="100" w:type="dxa"/>
              <w:left w:w="100" w:type="dxa"/>
              <w:bottom w:w="100" w:type="dxa"/>
              <w:right w:w="100" w:type="dxa"/>
            </w:tcMar>
          </w:tcPr>
          <w:p w:rsidR="002020EB" w:rsidRPr="001C1F88" w:rsidRDefault="002020EB">
            <w:pPr>
              <w:pStyle w:val="normal0"/>
              <w:widowControl w:val="0"/>
              <w:spacing w:after="0"/>
              <w:rPr>
                <w:rFonts w:ascii="Times New Roman" w:eastAsia="Times New Roman" w:hAnsi="Times New Roman" w:cs="Times New Roman"/>
                <w:sz w:val="24"/>
                <w:szCs w:val="24"/>
              </w:rPr>
            </w:pPr>
          </w:p>
        </w:tc>
        <w:tc>
          <w:tcPr>
            <w:tcW w:w="1620" w:type="dxa"/>
            <w:vMerge/>
            <w:tcBorders>
              <w:top w:val="single" w:sz="4" w:space="0" w:color="auto"/>
              <w:bottom w:val="single" w:sz="4" w:space="0" w:color="auto"/>
              <w:right w:val="single" w:sz="12" w:space="0" w:color="000000"/>
            </w:tcBorders>
            <w:shd w:val="clear" w:color="auto" w:fill="auto"/>
            <w:tcMar>
              <w:top w:w="100" w:type="dxa"/>
              <w:left w:w="100" w:type="dxa"/>
              <w:bottom w:w="100" w:type="dxa"/>
              <w:right w:w="100" w:type="dxa"/>
            </w:tcMar>
          </w:tcPr>
          <w:p w:rsidR="002020EB" w:rsidRPr="001C1F88" w:rsidRDefault="002020EB">
            <w:pPr>
              <w:pStyle w:val="normal0"/>
              <w:widowControl w:val="0"/>
              <w:spacing w:after="0"/>
              <w:rPr>
                <w:rFonts w:ascii="Times New Roman" w:eastAsia="Times New Roman" w:hAnsi="Times New Roman" w:cs="Times New Roman"/>
                <w:sz w:val="24"/>
                <w:szCs w:val="24"/>
              </w:rPr>
            </w:pPr>
          </w:p>
        </w:tc>
        <w:tc>
          <w:tcPr>
            <w:tcW w:w="1590" w:type="dxa"/>
            <w:vMerge/>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020EB" w:rsidRPr="001C1F88" w:rsidRDefault="002020EB">
            <w:pPr>
              <w:pStyle w:val="normal0"/>
              <w:widowControl w:val="0"/>
              <w:spacing w:after="0"/>
              <w:rPr>
                <w:rFonts w:ascii="Times New Roman" w:eastAsia="Times New Roman" w:hAnsi="Times New Roman" w:cs="Times New Roman"/>
                <w:sz w:val="24"/>
                <w:szCs w:val="24"/>
              </w:rPr>
            </w:pPr>
          </w:p>
        </w:tc>
      </w:tr>
    </w:tbl>
    <w:p w:rsidR="002020EB" w:rsidRPr="001C1F88" w:rsidRDefault="005A7D68" w:rsidP="001C1F88">
      <w:pPr>
        <w:pStyle w:val="normal0"/>
        <w:widowControl w:val="0"/>
        <w:spacing w:after="0"/>
        <w:rPr>
          <w:rFonts w:ascii="Times New Roman" w:eastAsia="Times New Roman" w:hAnsi="Times New Roman" w:cs="Times New Roman"/>
          <w:u w:val="single"/>
        </w:rPr>
      </w:pPr>
      <w:r w:rsidRPr="001C1F88">
        <w:rPr>
          <w:rFonts w:ascii="Times New Roman" w:eastAsia="Times New Roman" w:hAnsi="Times New Roman" w:cs="Times New Roman"/>
          <w:sz w:val="24"/>
          <w:szCs w:val="24"/>
          <w:u w:val="single"/>
        </w:rPr>
        <w:t>Процена рас</w:t>
      </w:r>
      <w:r w:rsidRPr="001C1F88">
        <w:rPr>
          <w:rFonts w:ascii="Times New Roman" w:eastAsia="Times New Roman" w:hAnsi="Times New Roman" w:cs="Times New Roman"/>
          <w:u w:val="single"/>
        </w:rPr>
        <w:t>хода и издатака у Табели не садржи планирана капитална улагања по основу дугорочног задуживања код пословних банака.</w:t>
      </w:r>
    </w:p>
    <w:p w:rsidR="002020EB" w:rsidRDefault="002020EB">
      <w:pPr>
        <w:pStyle w:val="normal0"/>
        <w:spacing w:after="0" w:line="240" w:lineRule="auto"/>
        <w:rPr>
          <w:rFonts w:ascii="Times New Roman" w:eastAsia="Times New Roman" w:hAnsi="Times New Roman" w:cs="Times New Roman"/>
        </w:rPr>
      </w:pPr>
    </w:p>
    <w:p w:rsidR="002020EB" w:rsidRDefault="005A7D68">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IV </w:t>
      </w:r>
      <w:r>
        <w:rPr>
          <w:rFonts w:ascii="Times New Roman" w:eastAsia="Times New Roman" w:hAnsi="Times New Roman" w:cs="Times New Roman"/>
          <w:b/>
          <w:smallCaps/>
        </w:rPr>
        <w:t>ОБИМ</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 СРЕДСТАВА КОЈИ</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 МОЖЕ ДА САДРЖИ </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ПРЕДЛОГ </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ФИНАНСИЈСКОГ ПЛАНА  ДИРЕКТНИХ </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КОРИСНИКА</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 БУЏЕТСКИХ</w:t>
      </w:r>
      <w:r w:rsidR="001C1F88">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 СРЕДСТАВА</w:t>
      </w:r>
    </w:p>
    <w:p w:rsidR="002020EB" w:rsidRDefault="002020EB">
      <w:pPr>
        <w:pStyle w:val="normal0"/>
        <w:spacing w:after="0" w:line="240" w:lineRule="auto"/>
        <w:ind w:firstLine="708"/>
        <w:jc w:val="center"/>
        <w:rPr>
          <w:rFonts w:ascii="Times New Roman" w:eastAsia="Times New Roman" w:hAnsi="Times New Roman" w:cs="Times New Roman"/>
          <w:color w:val="4472C4"/>
        </w:rPr>
      </w:pPr>
    </w:p>
    <w:p w:rsidR="002020EB" w:rsidRDefault="002020EB">
      <w:pPr>
        <w:pStyle w:val="normal0"/>
        <w:spacing w:after="0" w:line="240" w:lineRule="auto"/>
        <w:ind w:firstLine="708"/>
        <w:jc w:val="center"/>
        <w:rPr>
          <w:rFonts w:ascii="Times New Roman" w:eastAsia="Times New Roman" w:hAnsi="Times New Roman" w:cs="Times New Roman"/>
          <w:color w:val="4472C4"/>
        </w:rPr>
      </w:pPr>
    </w:p>
    <w:tbl>
      <w:tblPr>
        <w:tblStyle w:val="a2"/>
        <w:tblW w:w="10005" w:type="dxa"/>
        <w:tblInd w:w="-60" w:type="dxa"/>
        <w:tblBorders>
          <w:top w:val="nil"/>
          <w:left w:val="nil"/>
          <w:bottom w:val="nil"/>
          <w:right w:val="nil"/>
          <w:insideH w:val="nil"/>
          <w:insideV w:val="nil"/>
        </w:tblBorders>
        <w:tblLayout w:type="fixed"/>
        <w:tblLook w:val="0600"/>
      </w:tblPr>
      <w:tblGrid>
        <w:gridCol w:w="3885"/>
        <w:gridCol w:w="1530"/>
        <w:gridCol w:w="1545"/>
        <w:gridCol w:w="1530"/>
        <w:gridCol w:w="1515"/>
      </w:tblGrid>
      <w:tr w:rsidR="002020EB" w:rsidTr="001C1F88">
        <w:trPr>
          <w:trHeight w:val="960"/>
        </w:trPr>
        <w:tc>
          <w:tcPr>
            <w:tcW w:w="3885" w:type="dxa"/>
            <w:tcBorders>
              <w:top w:val="single" w:sz="4" w:space="0" w:color="auto"/>
              <w:left w:val="single" w:sz="4" w:space="0" w:color="auto"/>
              <w:bottom w:val="single" w:sz="12" w:space="0" w:color="000000"/>
              <w:right w:val="single" w:sz="12" w:space="0" w:color="000000"/>
            </w:tcBorders>
            <w:tcMar>
              <w:top w:w="0" w:type="dxa"/>
              <w:left w:w="40" w:type="dxa"/>
              <w:bottom w:w="0" w:type="dxa"/>
              <w:right w:w="40" w:type="dxa"/>
            </w:tcMar>
            <w:vAlign w:val="bottom"/>
          </w:tcPr>
          <w:p w:rsidR="002020EB" w:rsidRPr="001C1F88" w:rsidRDefault="005A7D68">
            <w:pPr>
              <w:pStyle w:val="normal0"/>
              <w:widowControl w:val="0"/>
              <w:spacing w:after="0"/>
              <w:jc w:val="center"/>
            </w:pPr>
            <w:r w:rsidRPr="001C1F88">
              <w:rPr>
                <w:rFonts w:ascii="Times New Roman" w:eastAsia="Times New Roman" w:hAnsi="Times New Roman" w:cs="Times New Roman"/>
              </w:rPr>
              <w:t>ДИРЕКТНИ КОРИСНИК</w:t>
            </w:r>
          </w:p>
        </w:tc>
        <w:tc>
          <w:tcPr>
            <w:tcW w:w="1530" w:type="dxa"/>
            <w:tcBorders>
              <w:top w:val="single" w:sz="4" w:space="0" w:color="auto"/>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rPr>
                <w:rFonts w:ascii="Times New Roman" w:eastAsia="Times New Roman" w:hAnsi="Times New Roman" w:cs="Times New Roman"/>
              </w:rPr>
            </w:pPr>
            <w:r>
              <w:rPr>
                <w:rFonts w:ascii="Times New Roman" w:eastAsia="Times New Roman" w:hAnsi="Times New Roman" w:cs="Times New Roman"/>
              </w:rPr>
              <w:t>Процена за</w:t>
            </w:r>
          </w:p>
          <w:p w:rsidR="002020EB" w:rsidRDefault="005A7D68">
            <w:pPr>
              <w:pStyle w:val="normal0"/>
              <w:widowControl w:val="0"/>
              <w:spacing w:after="0"/>
            </w:pPr>
            <w:r>
              <w:rPr>
                <w:rFonts w:ascii="Times New Roman" w:eastAsia="Times New Roman" w:hAnsi="Times New Roman" w:cs="Times New Roman"/>
              </w:rPr>
              <w:t>2018. годину</w:t>
            </w:r>
          </w:p>
        </w:tc>
        <w:tc>
          <w:tcPr>
            <w:tcW w:w="1545" w:type="dxa"/>
            <w:tcBorders>
              <w:top w:val="single" w:sz="4" w:space="0" w:color="auto"/>
              <w:left w:val="single" w:sz="6" w:space="0" w:color="CCCCCC"/>
              <w:bottom w:val="single" w:sz="12" w:space="0" w:color="000000"/>
              <w:right w:val="single" w:sz="12" w:space="0" w:color="000000"/>
            </w:tcBorders>
            <w:tcMar>
              <w:top w:w="0" w:type="dxa"/>
              <w:left w:w="40" w:type="dxa"/>
              <w:bottom w:w="0" w:type="dxa"/>
              <w:right w:w="40" w:type="dxa"/>
            </w:tcMar>
            <w:vAlign w:val="bottom"/>
          </w:tcPr>
          <w:p w:rsidR="002020EB" w:rsidRDefault="005A7D68">
            <w:pPr>
              <w:pStyle w:val="normal0"/>
              <w:widowControl w:val="0"/>
              <w:spacing w:after="0"/>
              <w:rPr>
                <w:rFonts w:ascii="Times New Roman" w:eastAsia="Times New Roman" w:hAnsi="Times New Roman" w:cs="Times New Roman"/>
              </w:rPr>
            </w:pPr>
            <w:r>
              <w:rPr>
                <w:rFonts w:ascii="Times New Roman" w:eastAsia="Times New Roman" w:hAnsi="Times New Roman" w:cs="Times New Roman"/>
              </w:rPr>
              <w:t>Пројекција за</w:t>
            </w:r>
          </w:p>
          <w:p w:rsidR="002020EB" w:rsidRDefault="005A7D68">
            <w:pPr>
              <w:pStyle w:val="normal0"/>
              <w:widowControl w:val="0"/>
              <w:spacing w:after="0"/>
            </w:pPr>
            <w:r>
              <w:rPr>
                <w:rFonts w:ascii="Times New Roman" w:eastAsia="Times New Roman" w:hAnsi="Times New Roman" w:cs="Times New Roman"/>
              </w:rPr>
              <w:t>2019. годину</w:t>
            </w:r>
          </w:p>
        </w:tc>
        <w:tc>
          <w:tcPr>
            <w:tcW w:w="1530" w:type="dxa"/>
            <w:tcBorders>
              <w:top w:val="single" w:sz="4" w:space="0" w:color="auto"/>
              <w:left w:val="single" w:sz="6" w:space="0" w:color="CCCCCC"/>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rPr>
                <w:rFonts w:ascii="Times New Roman" w:eastAsia="Times New Roman" w:hAnsi="Times New Roman" w:cs="Times New Roman"/>
              </w:rPr>
            </w:pPr>
            <w:r>
              <w:rPr>
                <w:rFonts w:ascii="Times New Roman" w:eastAsia="Times New Roman" w:hAnsi="Times New Roman" w:cs="Times New Roman"/>
              </w:rPr>
              <w:t>Пројекција</w:t>
            </w:r>
          </w:p>
          <w:p w:rsidR="002020EB" w:rsidRDefault="005A7D68">
            <w:pPr>
              <w:pStyle w:val="normal0"/>
              <w:widowControl w:val="0"/>
              <w:spacing w:after="0"/>
            </w:pPr>
            <w:r>
              <w:rPr>
                <w:rFonts w:ascii="Times New Roman" w:eastAsia="Times New Roman" w:hAnsi="Times New Roman" w:cs="Times New Roman"/>
              </w:rPr>
              <w:t>за 2020.годину</w:t>
            </w:r>
          </w:p>
        </w:tc>
        <w:tc>
          <w:tcPr>
            <w:tcW w:w="1515" w:type="dxa"/>
            <w:tcBorders>
              <w:top w:val="single" w:sz="4" w:space="0" w:color="auto"/>
              <w:left w:val="single" w:sz="6" w:space="0" w:color="CCCCCC"/>
              <w:bottom w:val="single" w:sz="6" w:space="0" w:color="000000"/>
              <w:right w:val="single" w:sz="4" w:space="0" w:color="auto"/>
            </w:tcBorders>
            <w:tcMar>
              <w:top w:w="0" w:type="dxa"/>
              <w:left w:w="40" w:type="dxa"/>
              <w:bottom w:w="0" w:type="dxa"/>
              <w:right w:w="40" w:type="dxa"/>
            </w:tcMar>
            <w:vAlign w:val="bottom"/>
          </w:tcPr>
          <w:p w:rsidR="002020EB" w:rsidRDefault="005A7D68">
            <w:pPr>
              <w:pStyle w:val="normal0"/>
              <w:widowControl w:val="0"/>
              <w:spacing w:after="0"/>
              <w:rPr>
                <w:rFonts w:ascii="Times New Roman" w:eastAsia="Times New Roman" w:hAnsi="Times New Roman" w:cs="Times New Roman"/>
              </w:rPr>
            </w:pPr>
            <w:r>
              <w:rPr>
                <w:rFonts w:ascii="Times New Roman" w:eastAsia="Times New Roman" w:hAnsi="Times New Roman" w:cs="Times New Roman"/>
              </w:rPr>
              <w:t>Пројекција за</w:t>
            </w:r>
          </w:p>
          <w:p w:rsidR="002020EB" w:rsidRDefault="005A7D68">
            <w:pPr>
              <w:pStyle w:val="normal0"/>
              <w:widowControl w:val="0"/>
              <w:spacing w:after="0"/>
            </w:pPr>
            <w:r>
              <w:rPr>
                <w:rFonts w:ascii="Times New Roman" w:eastAsia="Times New Roman" w:hAnsi="Times New Roman" w:cs="Times New Roman"/>
              </w:rPr>
              <w:t>2021. годину</w:t>
            </w:r>
          </w:p>
        </w:tc>
      </w:tr>
      <w:tr w:rsidR="002020EB" w:rsidTr="001C1F88">
        <w:trPr>
          <w:trHeight w:val="300"/>
        </w:trPr>
        <w:tc>
          <w:tcPr>
            <w:tcW w:w="3885" w:type="dxa"/>
            <w:tcBorders>
              <w:top w:val="single" w:sz="6" w:space="0" w:color="CCCCCC"/>
              <w:left w:val="single" w:sz="4" w:space="0" w:color="auto"/>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Скупштина општине</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4.881.000,00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4.800.000,00</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4.900.000,00</w:t>
            </w:r>
          </w:p>
        </w:tc>
        <w:tc>
          <w:tcPr>
            <w:tcW w:w="1515"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bottom"/>
          </w:tcPr>
          <w:p w:rsidR="002020EB" w:rsidRDefault="005A7D68">
            <w:pPr>
              <w:pStyle w:val="normal0"/>
              <w:widowControl w:val="0"/>
              <w:spacing w:after="0"/>
              <w:jc w:val="right"/>
            </w:pPr>
            <w:r>
              <w:t>4.900.000,00</w:t>
            </w:r>
          </w:p>
        </w:tc>
      </w:tr>
      <w:tr w:rsidR="002020EB" w:rsidTr="001C1F88">
        <w:trPr>
          <w:trHeight w:val="300"/>
        </w:trPr>
        <w:tc>
          <w:tcPr>
            <w:tcW w:w="3885" w:type="dxa"/>
            <w:tcBorders>
              <w:top w:val="single" w:sz="6" w:space="0" w:color="CCCCCC"/>
              <w:left w:val="single" w:sz="4" w:space="0" w:color="auto"/>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Председник Општине</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17.752.000,00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17.800.000,00</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18.000.000,00</w:t>
            </w:r>
          </w:p>
        </w:tc>
        <w:tc>
          <w:tcPr>
            <w:tcW w:w="1515"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bottom"/>
          </w:tcPr>
          <w:p w:rsidR="002020EB" w:rsidRDefault="005A7D68">
            <w:pPr>
              <w:pStyle w:val="normal0"/>
              <w:widowControl w:val="0"/>
              <w:spacing w:after="0"/>
              <w:jc w:val="right"/>
            </w:pPr>
            <w:r>
              <w:t>18.000.000,00</w:t>
            </w:r>
          </w:p>
        </w:tc>
      </w:tr>
      <w:tr w:rsidR="002020EB" w:rsidTr="001C1F88">
        <w:trPr>
          <w:trHeight w:val="300"/>
        </w:trPr>
        <w:tc>
          <w:tcPr>
            <w:tcW w:w="3885" w:type="dxa"/>
            <w:tcBorders>
              <w:top w:val="single" w:sz="6" w:space="0" w:color="CCCCCC"/>
              <w:left w:val="single" w:sz="4" w:space="0" w:color="auto"/>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Општинско веће</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4.985.000,00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5.000.000,00</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5.100.000,00</w:t>
            </w:r>
          </w:p>
        </w:tc>
        <w:tc>
          <w:tcPr>
            <w:tcW w:w="1515"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bottom"/>
          </w:tcPr>
          <w:p w:rsidR="002020EB" w:rsidRDefault="005A7D68">
            <w:pPr>
              <w:pStyle w:val="normal0"/>
              <w:widowControl w:val="0"/>
              <w:spacing w:after="0"/>
              <w:jc w:val="right"/>
            </w:pPr>
            <w:r>
              <w:t>5.100.000,00</w:t>
            </w:r>
          </w:p>
        </w:tc>
      </w:tr>
      <w:tr w:rsidR="002020EB" w:rsidTr="001C1F88">
        <w:trPr>
          <w:trHeight w:val="300"/>
        </w:trPr>
        <w:tc>
          <w:tcPr>
            <w:tcW w:w="3885" w:type="dxa"/>
            <w:tcBorders>
              <w:top w:val="single" w:sz="6" w:space="0" w:color="CCCCCC"/>
              <w:left w:val="single" w:sz="4" w:space="0" w:color="auto"/>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Општинско јавно правобранилаштво</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3.666.000,00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3.700.000,00</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3.750.000,00</w:t>
            </w:r>
          </w:p>
        </w:tc>
        <w:tc>
          <w:tcPr>
            <w:tcW w:w="1515"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bottom"/>
          </w:tcPr>
          <w:p w:rsidR="002020EB" w:rsidRDefault="005A7D68">
            <w:pPr>
              <w:pStyle w:val="normal0"/>
              <w:widowControl w:val="0"/>
              <w:spacing w:after="0"/>
              <w:jc w:val="right"/>
            </w:pPr>
            <w:r>
              <w:t>3.750.000,00</w:t>
            </w:r>
          </w:p>
        </w:tc>
      </w:tr>
      <w:tr w:rsidR="002020EB" w:rsidTr="001C1F88">
        <w:trPr>
          <w:trHeight w:val="300"/>
        </w:trPr>
        <w:tc>
          <w:tcPr>
            <w:tcW w:w="3885" w:type="dxa"/>
            <w:tcBorders>
              <w:top w:val="single" w:sz="6" w:space="0" w:color="CCCCCC"/>
              <w:left w:val="single" w:sz="4" w:space="0" w:color="auto"/>
              <w:bottom w:val="single" w:sz="12"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rPr>
              <w:t>Општинска управа са осталим корисницима</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541.116.000,00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537.230.000,00</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540.480.000,00</w:t>
            </w:r>
          </w:p>
        </w:tc>
        <w:tc>
          <w:tcPr>
            <w:tcW w:w="1515" w:type="dxa"/>
            <w:tcBorders>
              <w:top w:val="single" w:sz="6" w:space="0" w:color="CCCCCC"/>
              <w:left w:val="single" w:sz="6" w:space="0" w:color="CCCCCC"/>
              <w:bottom w:val="single" w:sz="6" w:space="0" w:color="000000"/>
              <w:right w:val="single" w:sz="4" w:space="0" w:color="auto"/>
            </w:tcBorders>
            <w:tcMar>
              <w:top w:w="0" w:type="dxa"/>
              <w:left w:w="40" w:type="dxa"/>
              <w:bottom w:w="0" w:type="dxa"/>
              <w:right w:w="40" w:type="dxa"/>
            </w:tcMar>
            <w:vAlign w:val="bottom"/>
          </w:tcPr>
          <w:p w:rsidR="002020EB" w:rsidRDefault="005A7D68">
            <w:pPr>
              <w:pStyle w:val="normal0"/>
              <w:widowControl w:val="0"/>
              <w:spacing w:after="0"/>
              <w:jc w:val="right"/>
            </w:pPr>
            <w:r>
              <w:t>540.480.000,00</w:t>
            </w:r>
          </w:p>
        </w:tc>
      </w:tr>
      <w:tr w:rsidR="002020EB" w:rsidTr="001C1F88">
        <w:trPr>
          <w:trHeight w:val="300"/>
        </w:trPr>
        <w:tc>
          <w:tcPr>
            <w:tcW w:w="3885" w:type="dxa"/>
            <w:tcBorders>
              <w:top w:val="single" w:sz="6" w:space="0" w:color="CCCCCC"/>
              <w:left w:val="single" w:sz="4" w:space="0" w:color="auto"/>
              <w:bottom w:val="single" w:sz="4" w:space="0" w:color="auto"/>
              <w:right w:val="single" w:sz="6" w:space="0" w:color="000000"/>
            </w:tcBorders>
            <w:tcMar>
              <w:top w:w="0" w:type="dxa"/>
              <w:left w:w="40" w:type="dxa"/>
              <w:bottom w:w="0" w:type="dxa"/>
              <w:right w:w="40" w:type="dxa"/>
            </w:tcMar>
            <w:vAlign w:val="bottom"/>
          </w:tcPr>
          <w:p w:rsidR="002020EB" w:rsidRDefault="005A7D68">
            <w:pPr>
              <w:pStyle w:val="normal0"/>
              <w:widowControl w:val="0"/>
              <w:spacing w:after="0"/>
            </w:pPr>
            <w:r>
              <w:rPr>
                <w:rFonts w:ascii="Times New Roman" w:eastAsia="Times New Roman" w:hAnsi="Times New Roman" w:cs="Times New Roman"/>
                <w:b/>
              </w:rPr>
              <w:t>Укупно</w:t>
            </w:r>
          </w:p>
        </w:tc>
        <w:tc>
          <w:tcPr>
            <w:tcW w:w="1530" w:type="dxa"/>
            <w:tcBorders>
              <w:top w:val="single" w:sz="6" w:space="0" w:color="CCCCCC"/>
              <w:left w:val="single" w:sz="6" w:space="0" w:color="CCCCCC"/>
              <w:bottom w:val="single" w:sz="4" w:space="0" w:color="auto"/>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572.400.000,00</w:t>
            </w:r>
          </w:p>
        </w:tc>
        <w:tc>
          <w:tcPr>
            <w:tcW w:w="1545" w:type="dxa"/>
            <w:tcBorders>
              <w:top w:val="single" w:sz="6" w:space="0" w:color="CCCCCC"/>
              <w:left w:val="single" w:sz="6" w:space="0" w:color="CCCCCC"/>
              <w:bottom w:val="single" w:sz="4" w:space="0" w:color="auto"/>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568.530.000,00</w:t>
            </w:r>
          </w:p>
        </w:tc>
        <w:tc>
          <w:tcPr>
            <w:tcW w:w="1530" w:type="dxa"/>
            <w:tcBorders>
              <w:top w:val="single" w:sz="6" w:space="0" w:color="CCCCCC"/>
              <w:left w:val="single" w:sz="6" w:space="0" w:color="CCCCCC"/>
              <w:bottom w:val="single" w:sz="4" w:space="0" w:color="auto"/>
              <w:right w:val="single" w:sz="6" w:space="0" w:color="000000"/>
            </w:tcBorders>
            <w:tcMar>
              <w:top w:w="0" w:type="dxa"/>
              <w:left w:w="40" w:type="dxa"/>
              <w:bottom w:w="0" w:type="dxa"/>
              <w:right w:w="40" w:type="dxa"/>
            </w:tcMar>
            <w:vAlign w:val="bottom"/>
          </w:tcPr>
          <w:p w:rsidR="002020EB" w:rsidRDefault="005A7D68">
            <w:pPr>
              <w:pStyle w:val="normal0"/>
              <w:widowControl w:val="0"/>
              <w:spacing w:after="0"/>
              <w:jc w:val="right"/>
            </w:pPr>
            <w:r>
              <w:t>572.230.000,00</w:t>
            </w:r>
          </w:p>
        </w:tc>
        <w:tc>
          <w:tcPr>
            <w:tcW w:w="1515" w:type="dxa"/>
            <w:tcBorders>
              <w:top w:val="single" w:sz="6" w:space="0" w:color="CCCCCC"/>
              <w:left w:val="single" w:sz="6" w:space="0" w:color="CCCCCC"/>
              <w:bottom w:val="single" w:sz="4" w:space="0" w:color="auto"/>
              <w:right w:val="single" w:sz="4" w:space="0" w:color="auto"/>
            </w:tcBorders>
            <w:tcMar>
              <w:top w:w="0" w:type="dxa"/>
              <w:left w:w="40" w:type="dxa"/>
              <w:bottom w:w="0" w:type="dxa"/>
              <w:right w:w="40" w:type="dxa"/>
            </w:tcMar>
            <w:vAlign w:val="bottom"/>
          </w:tcPr>
          <w:p w:rsidR="002020EB" w:rsidRDefault="005A7D68">
            <w:pPr>
              <w:pStyle w:val="normal0"/>
              <w:widowControl w:val="0"/>
              <w:spacing w:after="0"/>
              <w:jc w:val="right"/>
            </w:pPr>
            <w:r>
              <w:t>572.230.000,00</w:t>
            </w:r>
          </w:p>
        </w:tc>
      </w:tr>
    </w:tbl>
    <w:p w:rsidR="002020EB" w:rsidRDefault="002020EB">
      <w:pPr>
        <w:pStyle w:val="normal0"/>
        <w:spacing w:after="0" w:line="240" w:lineRule="auto"/>
        <w:ind w:firstLine="708"/>
        <w:jc w:val="center"/>
        <w:rPr>
          <w:rFonts w:ascii="Times New Roman" w:eastAsia="Times New Roman" w:hAnsi="Times New Roman" w:cs="Times New Roman"/>
          <w:color w:val="4472C4"/>
        </w:rPr>
      </w:pPr>
    </w:p>
    <w:p w:rsidR="002020EB" w:rsidRDefault="005A7D68">
      <w:pPr>
        <w:pStyle w:val="norm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доношења Фискалне стратегије и Упутства за израду буџета локалне власти за 2019. годину од стране Министарства финансија, </w:t>
      </w:r>
      <w:r>
        <w:rPr>
          <w:rFonts w:ascii="Times New Roman" w:eastAsia="Times New Roman" w:hAnsi="Times New Roman" w:cs="Times New Roman"/>
          <w:color w:val="000000"/>
          <w:u w:val="single"/>
        </w:rPr>
        <w:t>корисници буџетских средстава су дужни да предлоге својих</w:t>
      </w:r>
      <w:r w:rsidR="001C1F88">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 xml:space="preserve"> финансијских планова задрже у оквиру који је опредељен Одлуком о ребалансу буџета општине Кучево за 2018. годину</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Приликом планирања буџета, сви </w:t>
      </w:r>
      <w:r w:rsidR="001C1F88">
        <w:rPr>
          <w:rFonts w:ascii="Times New Roman" w:eastAsia="Times New Roman" w:hAnsi="Times New Roman" w:cs="Times New Roman"/>
          <w:color w:val="000000"/>
        </w:rPr>
        <w:t xml:space="preserve">буџетски корисници су дужни да </w:t>
      </w:r>
      <w:r>
        <w:rPr>
          <w:rFonts w:ascii="Times New Roman" w:eastAsia="Times New Roman" w:hAnsi="Times New Roman" w:cs="Times New Roman"/>
          <w:color w:val="000000"/>
        </w:rPr>
        <w:t xml:space="preserve">одговорно и у складу са објективним потребама , рационално и економично распореде своје трошкове у складу са предложеним ограничењем . У </w:t>
      </w:r>
      <w:r w:rsidR="001C1F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оквиру ограничених средстава, буџетски корисници као приоритет треба да планирају законске и уговорене обавезе (плате, накнаде, закључене уговоре, преузете обавезе и сл.). Уколико се услед измењених законских прописа јави потреба за новим активностима и повећаним расходима, исто је потребно детаљно образложити кроз захтев за додатним средствима.</w:t>
      </w:r>
    </w:p>
    <w:p w:rsidR="002020EB" w:rsidRPr="001C1F88" w:rsidRDefault="002020EB">
      <w:pPr>
        <w:pStyle w:val="normal0"/>
        <w:spacing w:after="0" w:line="240" w:lineRule="auto"/>
        <w:rPr>
          <w:rFonts w:ascii="Times New Roman" w:eastAsia="Times New Roman" w:hAnsi="Times New Roman" w:cs="Times New Roman"/>
          <w:color w:val="4472C4"/>
        </w:rPr>
      </w:pPr>
    </w:p>
    <w:p w:rsidR="002020EB" w:rsidRDefault="005A7D68">
      <w:pPr>
        <w:pStyle w:val="normal0"/>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V СМЕРНИЦЕ ЗА ПРИПРЕМУ  ПЛАНОВА КОРИСНИКА БУЏЕТСКИХ СРЕДСТАВА</w:t>
      </w:r>
    </w:p>
    <w:p w:rsidR="002020EB" w:rsidRDefault="002020EB">
      <w:pPr>
        <w:pStyle w:val="normal0"/>
        <w:spacing w:after="0" w:line="240" w:lineRule="auto"/>
        <w:jc w:val="center"/>
        <w:rPr>
          <w:rFonts w:ascii="Times New Roman" w:eastAsia="Times New Roman" w:hAnsi="Times New Roman" w:cs="Times New Roman"/>
          <w:u w:val="single"/>
        </w:rPr>
      </w:pPr>
    </w:p>
    <w:p w:rsidR="002020EB" w:rsidRDefault="005A7D68">
      <w:pPr>
        <w:pStyle w:val="normal0"/>
        <w:numPr>
          <w:ilvl w:val="0"/>
          <w:numId w:val="6"/>
        </w:numPr>
        <w:spacing w:after="0" w:line="240" w:lineRule="auto"/>
        <w:rPr>
          <w:rFonts w:ascii="Times New Roman" w:eastAsia="Times New Roman" w:hAnsi="Times New Roman" w:cs="Times New Roman"/>
          <w:u w:val="single"/>
        </w:rPr>
      </w:pPr>
      <w:r>
        <w:rPr>
          <w:rFonts w:ascii="Times New Roman" w:eastAsia="Times New Roman" w:hAnsi="Times New Roman" w:cs="Times New Roman"/>
          <w:b/>
          <w:u w:val="single"/>
        </w:rPr>
        <w:t xml:space="preserve"> Планирање плате и  броја запослених</w:t>
      </w:r>
    </w:p>
    <w:p w:rsidR="002020EB" w:rsidRDefault="002020EB">
      <w:pPr>
        <w:pStyle w:val="normal0"/>
        <w:spacing w:after="0" w:line="240" w:lineRule="auto"/>
        <w:ind w:left="720"/>
        <w:rPr>
          <w:rFonts w:ascii="Times New Roman" w:eastAsia="Times New Roman" w:hAnsi="Times New Roman" w:cs="Times New Roman"/>
          <w:u w:val="single"/>
        </w:rPr>
      </w:pP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rPr>
        <w:t xml:space="preserve">        Средства  потребна за исплату плата (група конта 411 и 412)  планирају се, за сада,  према утврђеним коефицијентима и важећој основици за обрачун плате, на основу постојећег броја извршилаца и планиране рационализације,  максимално до нивоа одобрених средстава за 2018. годину.</w:t>
      </w:r>
      <w:r>
        <w:t xml:space="preserve"> </w:t>
      </w:r>
      <w:r w:rsidR="001C1F88">
        <w:rPr>
          <w:rFonts w:ascii="Times New Roman" w:eastAsia="Times New Roman" w:hAnsi="Times New Roman" w:cs="Times New Roman"/>
        </w:rPr>
        <w:t xml:space="preserve">То значи да се основице и </w:t>
      </w:r>
      <w:r>
        <w:rPr>
          <w:rFonts w:ascii="Times New Roman" w:eastAsia="Times New Roman" w:hAnsi="Times New Roman" w:cs="Times New Roman"/>
        </w:rPr>
        <w:t xml:space="preserve"> даље умањују за 10%, које се  књижи на конту 465. Одлуком о буџету се не врши одобравање новог запошљавања у складу са Законом о буџетском систему.                                               </w:t>
      </w: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rPr>
        <w:t xml:space="preserve">     Када су у питању остала конта из</w:t>
      </w:r>
      <w:r w:rsidR="009B0DA5">
        <w:rPr>
          <w:rFonts w:ascii="Times New Roman" w:eastAsia="Times New Roman" w:hAnsi="Times New Roman" w:cs="Times New Roman"/>
        </w:rPr>
        <w:t xml:space="preserve"> групе 41 – Расходи за запослене  корисници </w:t>
      </w:r>
      <w:r>
        <w:rPr>
          <w:rFonts w:ascii="Times New Roman" w:eastAsia="Times New Roman" w:hAnsi="Times New Roman" w:cs="Times New Roman"/>
        </w:rPr>
        <w:t xml:space="preserve"> не могу планирати исплату награда и бонуса предвиђених посебним и појединачним колективним уговорима (осим јубиларних награда за 2019. годину).</w:t>
      </w: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rPr>
        <w:t xml:space="preserve">     Износ средстава потребних за социјална давања запосленима (414) односи се на исплату накнада за одсуствовање са посла (боловање) и исплату отпремнина. Потребно је навести планирани број запослених  који ће у току 2019. године остварити право на отпремнину. </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9B0DA5">
        <w:rPr>
          <w:rFonts w:ascii="Times New Roman" w:eastAsia="Times New Roman" w:hAnsi="Times New Roman" w:cs="Times New Roman"/>
          <w:color w:val="000000"/>
        </w:rPr>
        <w:t xml:space="preserve">Износ средстава за јубиларне награде(416) се мора прецизно планирати код свих буџетских корисника. Потребно је да сваки буџетски корисник, у образложењу наведе списак запослених који ће у 2019. години остварити право на јубиларну награду као и потребне износе. </w:t>
      </w:r>
    </w:p>
    <w:p w:rsidR="002020EB" w:rsidRPr="009B0DA5" w:rsidRDefault="002020E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2020EB" w:rsidRPr="009B0DA5" w:rsidRDefault="005A7D68">
      <w:pPr>
        <w:pStyle w:val="normal0"/>
        <w:numPr>
          <w:ilvl w:val="0"/>
          <w:numId w:val="6"/>
        </w:numPr>
        <w:spacing w:after="0" w:line="240" w:lineRule="auto"/>
        <w:jc w:val="both"/>
        <w:rPr>
          <w:rFonts w:ascii="Times New Roman" w:eastAsia="Times New Roman" w:hAnsi="Times New Roman" w:cs="Times New Roman"/>
          <w:u w:val="single"/>
        </w:rPr>
      </w:pPr>
      <w:r w:rsidRPr="009B0DA5">
        <w:rPr>
          <w:rFonts w:ascii="Times New Roman" w:eastAsia="Times New Roman" w:hAnsi="Times New Roman" w:cs="Times New Roman"/>
          <w:b/>
          <w:u w:val="single"/>
        </w:rPr>
        <w:t>Планирање осталих расхода на економским класификацијама 42, 45, 48</w:t>
      </w:r>
    </w:p>
    <w:p w:rsidR="002020EB" w:rsidRPr="009B0DA5" w:rsidRDefault="002020EB">
      <w:pPr>
        <w:pStyle w:val="normal0"/>
        <w:spacing w:after="0" w:line="240" w:lineRule="auto"/>
        <w:jc w:val="both"/>
        <w:rPr>
          <w:rFonts w:ascii="Times New Roman" w:eastAsia="Times New Roman" w:hAnsi="Times New Roman" w:cs="Times New Roman"/>
        </w:rPr>
      </w:pP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rPr>
        <w:t xml:space="preserve">Коришћење услуга и роба (група конта 42) планирају се до износа који је опредељен буџетом за 2018. годину, с тим да је потребно сагледати могућност максималне уштеде, пре свега, у оквиру економских класификација 422 – Трошкови путовања, 423 – Услуге по уговору и 424 – Специјализоване услуге, а настојати да се не угрози извршавање сталних трошкова (421 – Стални трошкови). </w:t>
      </w:r>
    </w:p>
    <w:p w:rsidR="002020EB" w:rsidRPr="009B0DA5" w:rsidRDefault="005A7D68">
      <w:pPr>
        <w:pStyle w:val="normal0"/>
        <w:spacing w:after="0" w:line="240" w:lineRule="auto"/>
        <w:jc w:val="both"/>
        <w:rPr>
          <w:rFonts w:ascii="Times New Roman" w:eastAsia="Times New Roman" w:hAnsi="Times New Roman" w:cs="Times New Roman"/>
        </w:rPr>
      </w:pPr>
      <w:r w:rsidRPr="009B0DA5">
        <w:rPr>
          <w:rFonts w:ascii="Garamond" w:eastAsia="Garamond" w:hAnsi="Garamond" w:cs="Garamond"/>
        </w:rPr>
        <w:tab/>
      </w:r>
      <w:r w:rsidRPr="009B0DA5">
        <w:rPr>
          <w:rFonts w:ascii="Times New Roman" w:eastAsia="Times New Roman" w:hAnsi="Times New Roman" w:cs="Times New Roman"/>
        </w:rPr>
        <w:t>Средства за сталне трошкове (економска класификација 421) планирати на основу  извршења у 2018.години и очекиваног  нивоа извршења  до краја године, увећано за пројектовану инфлацију за 2019. годину. Како би се смањила потрошња папира и тонера за штампање  препоручује се да се у интерној комуникацији што више користи електронска пошта и да се оспособе емајл адресе. Угоститељске услуге, трошкове репрезентације и поклона, планирати уз максималну штедњу.</w:t>
      </w: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Garamond" w:eastAsia="Garamond" w:hAnsi="Garamond" w:cs="Garamond"/>
        </w:rPr>
        <w:t xml:space="preserve"> </w:t>
      </w:r>
      <w:r w:rsidRPr="009B0DA5">
        <w:rPr>
          <w:rFonts w:ascii="Times New Roman" w:eastAsia="Times New Roman" w:hAnsi="Times New Roman" w:cs="Times New Roman"/>
        </w:rPr>
        <w:t>Средства за текуће одржавање опреме и објеката (425-Текуће поправке и одржавање) планирају се по приоритетима, водећи рачуна да се обезбеди рационално функционисање.</w:t>
      </w: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rPr>
        <w:t xml:space="preserve">Износ субвенција конто 45 планирати највише до нивоа из 2018. године. </w:t>
      </w: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rPr>
        <w:t>Остали расходи из групе 48 се планирају  максимално до износа који је био опредељен 2018. године.Средства за ове намене распоредиће се након спроведеног конкурса.</w:t>
      </w:r>
    </w:p>
    <w:p w:rsidR="002020EB" w:rsidRPr="009B0DA5" w:rsidRDefault="002020EB">
      <w:pPr>
        <w:pStyle w:val="normal0"/>
        <w:spacing w:after="0" w:line="240" w:lineRule="auto"/>
        <w:ind w:firstLine="708"/>
        <w:jc w:val="both"/>
        <w:rPr>
          <w:rFonts w:ascii="Times New Roman" w:eastAsia="Times New Roman" w:hAnsi="Times New Roman" w:cs="Times New Roman"/>
        </w:rPr>
      </w:pPr>
    </w:p>
    <w:p w:rsidR="002020EB" w:rsidRPr="009B0DA5" w:rsidRDefault="005A7D68">
      <w:pPr>
        <w:pStyle w:val="normal0"/>
        <w:numPr>
          <w:ilvl w:val="0"/>
          <w:numId w:val="6"/>
        </w:numPr>
        <w:spacing w:after="0" w:line="240" w:lineRule="auto"/>
        <w:jc w:val="both"/>
        <w:rPr>
          <w:rFonts w:ascii="Times New Roman" w:eastAsia="Times New Roman" w:hAnsi="Times New Roman" w:cs="Times New Roman"/>
          <w:u w:val="single"/>
        </w:rPr>
      </w:pPr>
      <w:r w:rsidRPr="009B0DA5">
        <w:rPr>
          <w:rFonts w:ascii="Times New Roman" w:eastAsia="Times New Roman" w:hAnsi="Times New Roman" w:cs="Times New Roman"/>
          <w:b/>
          <w:u w:val="single"/>
        </w:rPr>
        <w:t>Класа 5- Издаци за нефинансијску имовину</w:t>
      </w:r>
    </w:p>
    <w:p w:rsidR="002020EB" w:rsidRPr="009B0DA5" w:rsidRDefault="002020EB">
      <w:pPr>
        <w:pStyle w:val="normal0"/>
        <w:spacing w:after="0" w:line="240" w:lineRule="auto"/>
        <w:ind w:firstLine="708"/>
        <w:jc w:val="both"/>
        <w:rPr>
          <w:rFonts w:ascii="Times New Roman" w:eastAsia="Times New Roman" w:hAnsi="Times New Roman" w:cs="Times New Roman"/>
        </w:rPr>
      </w:pP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rPr>
        <w:t>Набавка административне опреме и других основних средстава за редован рад потребно је да се планира са максималним уштедама, само за набавку неопходних средстава за рад. У образложењу обавезно навести оправданост набавке основног средства.</w:t>
      </w: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rPr>
        <w:t>Приликом планирања набавке информисати се о свим алтернативним изворима финансирања као што су конкурси и фондови међународних и домаћих организација, републичких органа, донатора и разних спонзора. Веома је битно не исказивати као капиталне издатке текуће поправке и одржавање зграда, објеката и опреме, већ да се расходи за молерске, зидарске радове, поправке и електричне опреме и сл. планирају на апропријацији економске класификације 425- Текуће поправке и одржавање.</w:t>
      </w:r>
    </w:p>
    <w:p w:rsidR="002020EB" w:rsidRPr="009B0DA5" w:rsidRDefault="002020EB">
      <w:pPr>
        <w:pStyle w:val="normal0"/>
        <w:spacing w:after="0" w:line="240" w:lineRule="auto"/>
        <w:ind w:firstLine="708"/>
        <w:jc w:val="both"/>
        <w:rPr>
          <w:rFonts w:ascii="Times New Roman" w:eastAsia="Times New Roman" w:hAnsi="Times New Roman" w:cs="Times New Roman"/>
        </w:rPr>
      </w:pPr>
    </w:p>
    <w:p w:rsidR="002020EB" w:rsidRPr="009B0DA5" w:rsidRDefault="005A7D68">
      <w:pPr>
        <w:pStyle w:val="normal0"/>
        <w:numPr>
          <w:ilvl w:val="0"/>
          <w:numId w:val="6"/>
        </w:numPr>
        <w:spacing w:before="120" w:after="0" w:line="240" w:lineRule="auto"/>
        <w:jc w:val="both"/>
        <w:rPr>
          <w:rFonts w:ascii="Times New Roman" w:eastAsia="Times New Roman" w:hAnsi="Times New Roman" w:cs="Times New Roman"/>
          <w:u w:val="single"/>
        </w:rPr>
      </w:pPr>
      <w:r w:rsidRPr="009B0DA5">
        <w:rPr>
          <w:rFonts w:ascii="Times New Roman" w:eastAsia="Times New Roman" w:hAnsi="Times New Roman" w:cs="Times New Roman"/>
          <w:b/>
          <w:u w:val="single"/>
        </w:rPr>
        <w:lastRenderedPageBreak/>
        <w:t>Смернице за исказивање издатака за капиталне пројекте за 2019- 2021. годину</w:t>
      </w:r>
    </w:p>
    <w:p w:rsidR="002020EB" w:rsidRPr="009B0DA5" w:rsidRDefault="002020EB">
      <w:pPr>
        <w:pStyle w:val="normal0"/>
        <w:spacing w:before="120" w:after="0" w:line="240" w:lineRule="auto"/>
        <w:ind w:left="720"/>
        <w:jc w:val="both"/>
        <w:rPr>
          <w:rFonts w:ascii="Times New Roman" w:eastAsia="Times New Roman" w:hAnsi="Times New Roman" w:cs="Times New Roman"/>
          <w:u w:val="single"/>
        </w:rPr>
      </w:pP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 xml:space="preserve">          У складу са Законом о буџетском систему издаци за капиталне пројекте се исказују за три године, без обзира да ли се капитални пројекти уговарају фазно по годинама, или корисник преузима обавезе по уговору који захтева плаћање у више година Капитални пројекти су пројекти чија реализација (извођење) траје дуже од годину дана и чији је век трајања, односно коришћења дужи од пет годинa.  Капитални пројекти се односе на:</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1. изградњу (куповину) зграда и грађевинских објеката и објеката инфраструктуре од интереса за локалну самоуправу;</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2. унапређење односно капитално одржавање постојећих зграда и грађевинских објеката и објеката инфраструктуре од интереса за локалну самоуправу;</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3. обезбеђивање земљишта ;</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4. пројектно планирање;</w:t>
      </w:r>
    </w:p>
    <w:p w:rsidR="002020EB" w:rsidRPr="009B0DA5" w:rsidRDefault="005A7D68">
      <w:pPr>
        <w:pStyle w:val="normal0"/>
        <w:pBdr>
          <w:top w:val="nil"/>
          <w:left w:val="nil"/>
          <w:bottom w:val="nil"/>
          <w:right w:val="nil"/>
          <w:between w:val="nil"/>
        </w:pBdr>
        <w:spacing w:after="0" w:line="240" w:lineRule="auto"/>
        <w:jc w:val="both"/>
        <w:rPr>
          <w:color w:val="000000"/>
        </w:rPr>
      </w:pPr>
      <w:r w:rsidRPr="009B0DA5">
        <w:rPr>
          <w:rFonts w:ascii="Times New Roman" w:eastAsia="Times New Roman" w:hAnsi="Times New Roman" w:cs="Times New Roman"/>
          <w:color w:val="000000"/>
        </w:rPr>
        <w:t>5. набавку опреме и машина чији је век трајања односно коришћења дужи од пет година</w:t>
      </w:r>
      <w:r w:rsidRPr="009B0DA5">
        <w:rPr>
          <w:color w:val="000000"/>
        </w:rPr>
        <w:t>.</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color w:val="000000"/>
        </w:rPr>
        <w:t xml:space="preserve">       </w:t>
      </w:r>
      <w:r w:rsidRPr="009B0DA5">
        <w:rPr>
          <w:rFonts w:ascii="Times New Roman" w:eastAsia="Times New Roman" w:hAnsi="Times New Roman" w:cs="Times New Roman"/>
          <w:color w:val="000000"/>
        </w:rPr>
        <w:t xml:space="preserve"> </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 xml:space="preserve">       Напомињемо да је Законом о буџетском систему прописано да корисници могу преузети обавезе по уговору који се односи на капиталне издатке за више година уз сагласност извршног органа општине, тако да је потребно да такву обавезу (већ насталу-и/или планирану) укључити у план буџета капиталног пројекта само у износу који доспева у тој години.</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 xml:space="preserve">      Корисници буџетских средстава су у обавези, да искажу све </w:t>
      </w:r>
      <w:r w:rsidRPr="009B0DA5">
        <w:rPr>
          <w:rFonts w:ascii="Times New Roman" w:eastAsia="Times New Roman" w:hAnsi="Times New Roman" w:cs="Times New Roman"/>
          <w:b/>
          <w:color w:val="000000"/>
        </w:rPr>
        <w:t>вишегодишње</w:t>
      </w:r>
      <w:r w:rsidRPr="009B0DA5">
        <w:rPr>
          <w:rFonts w:ascii="Times New Roman" w:eastAsia="Times New Roman" w:hAnsi="Times New Roman" w:cs="Times New Roman"/>
          <w:color w:val="000000"/>
        </w:rPr>
        <w:t xml:space="preserve"> планиране капиталне пројекте, који су започети у 2018. години, као и планиране издатке за нове капиталне пројекте у 2019. години.</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0DA5">
        <w:rPr>
          <w:rFonts w:ascii="Times New Roman" w:eastAsia="Times New Roman" w:hAnsi="Times New Roman" w:cs="Times New Roman"/>
          <w:color w:val="000000"/>
        </w:rPr>
        <w:t xml:space="preserve">      Поред тога корисници су и у обавези да поред издатака за вишегодишње пројекте, искажу  капиталне издатке за </w:t>
      </w:r>
      <w:r w:rsidRPr="009B0DA5">
        <w:rPr>
          <w:rFonts w:ascii="Times New Roman" w:eastAsia="Times New Roman" w:hAnsi="Times New Roman" w:cs="Times New Roman"/>
          <w:b/>
          <w:color w:val="000000"/>
        </w:rPr>
        <w:t>једногодишње</w:t>
      </w:r>
      <w:r w:rsidRPr="009B0DA5">
        <w:rPr>
          <w:rFonts w:ascii="Times New Roman" w:eastAsia="Times New Roman" w:hAnsi="Times New Roman" w:cs="Times New Roman"/>
          <w:color w:val="000000"/>
        </w:rPr>
        <w:t xml:space="preserve"> пројекте (чија реализација траје годину дана).</w:t>
      </w:r>
    </w:p>
    <w:p w:rsidR="002020EB" w:rsidRPr="009B0DA5" w:rsidRDefault="005A7D68">
      <w:pPr>
        <w:pStyle w:val="normal0"/>
        <w:spacing w:after="0" w:line="240" w:lineRule="auto"/>
        <w:jc w:val="both"/>
        <w:rPr>
          <w:rFonts w:ascii="Times New Roman" w:eastAsia="Times New Roman" w:hAnsi="Times New Roman" w:cs="Times New Roman"/>
        </w:rPr>
      </w:pPr>
      <w:r w:rsidRPr="009B0DA5">
        <w:rPr>
          <w:rFonts w:ascii="Times New Roman" w:eastAsia="Times New Roman" w:hAnsi="Times New Roman" w:cs="Times New Roman"/>
        </w:rPr>
        <w:t xml:space="preserve">     Корисници буџетских средстава дужни су да органу надлежном за послове финансија доставе планиране капиталне пројекте за буџетску и наредне две године, приказане у табели (</w:t>
      </w:r>
      <w:r w:rsidRPr="009B0DA5">
        <w:rPr>
          <w:rFonts w:ascii="Times New Roman" w:eastAsia="Times New Roman" w:hAnsi="Times New Roman" w:cs="Times New Roman"/>
          <w:u w:val="single"/>
        </w:rPr>
        <w:t>Табела  Преглед капиталних пројеката</w:t>
      </w:r>
      <w:r w:rsidRPr="009B0DA5">
        <w:rPr>
          <w:rFonts w:ascii="Times New Roman" w:eastAsia="Times New Roman" w:hAnsi="Times New Roman" w:cs="Times New Roman"/>
        </w:rPr>
        <w:t xml:space="preserve">). Средства за капиталне пројекте се планирају на контима групе 51, 52 и 54.У наведеним табелама, корисници су у обавези да искажу планиране издатке за капиталне пројекте по годинама који се односе на изградњу и капитално одржавање, </w:t>
      </w:r>
      <w:r w:rsidRPr="009B0DA5">
        <w:rPr>
          <w:rFonts w:ascii="Times New Roman" w:eastAsia="Times New Roman" w:hAnsi="Times New Roman" w:cs="Times New Roman"/>
          <w:u w:val="single"/>
        </w:rPr>
        <w:t>по контима на трећем и четвртом нивоу</w:t>
      </w:r>
      <w:r w:rsidRPr="009B0DA5">
        <w:rPr>
          <w:rFonts w:ascii="Times New Roman" w:eastAsia="Times New Roman" w:hAnsi="Times New Roman" w:cs="Times New Roman"/>
        </w:rPr>
        <w:t xml:space="preserve">  и то:</w:t>
      </w:r>
    </w:p>
    <w:p w:rsidR="002020EB" w:rsidRPr="009B0DA5" w:rsidRDefault="005A7D68">
      <w:pPr>
        <w:pStyle w:val="normal0"/>
        <w:spacing w:after="0" w:line="240" w:lineRule="auto"/>
        <w:jc w:val="both"/>
        <w:rPr>
          <w:rFonts w:ascii="Times New Roman" w:eastAsia="Times New Roman" w:hAnsi="Times New Roman" w:cs="Times New Roman"/>
        </w:rPr>
      </w:pPr>
      <w:r w:rsidRPr="009B0DA5">
        <w:rPr>
          <w:rFonts w:ascii="Times New Roman" w:eastAsia="Times New Roman" w:hAnsi="Times New Roman" w:cs="Times New Roman"/>
        </w:rPr>
        <w:t>1) Издатке за израду пројектно –техничке документације на конту 5114</w:t>
      </w:r>
    </w:p>
    <w:p w:rsidR="002020EB" w:rsidRPr="009B0DA5" w:rsidRDefault="005A7D68">
      <w:pPr>
        <w:pStyle w:val="normal0"/>
        <w:spacing w:after="0" w:line="240" w:lineRule="auto"/>
        <w:jc w:val="both"/>
        <w:rPr>
          <w:rFonts w:ascii="Times New Roman" w:eastAsia="Times New Roman" w:hAnsi="Times New Roman" w:cs="Times New Roman"/>
        </w:rPr>
      </w:pPr>
      <w:r w:rsidRPr="009B0DA5">
        <w:rPr>
          <w:rFonts w:ascii="Times New Roman" w:eastAsia="Times New Roman" w:hAnsi="Times New Roman" w:cs="Times New Roman"/>
        </w:rPr>
        <w:t>2) Издатке за експропријацију земљишта на конту 5411</w:t>
      </w:r>
    </w:p>
    <w:p w:rsidR="002020EB" w:rsidRPr="009B0DA5" w:rsidRDefault="005A7D68">
      <w:pPr>
        <w:pStyle w:val="normal0"/>
        <w:spacing w:after="0" w:line="240" w:lineRule="auto"/>
        <w:jc w:val="both"/>
        <w:rPr>
          <w:rFonts w:ascii="Times New Roman" w:eastAsia="Times New Roman" w:hAnsi="Times New Roman" w:cs="Times New Roman"/>
        </w:rPr>
      </w:pPr>
      <w:r w:rsidRPr="009B0DA5">
        <w:rPr>
          <w:rFonts w:ascii="Times New Roman" w:eastAsia="Times New Roman" w:hAnsi="Times New Roman" w:cs="Times New Roman"/>
        </w:rPr>
        <w:t xml:space="preserve">3) Издатке за извођење радова на изградњи, односно извођењу радова на капиталном одржавању на контима 5112 и 5113 </w:t>
      </w:r>
    </w:p>
    <w:p w:rsidR="002020EB" w:rsidRDefault="005A7D68">
      <w:pPr>
        <w:pStyle w:val="normal0"/>
        <w:spacing w:after="0" w:line="240" w:lineRule="auto"/>
        <w:jc w:val="both"/>
        <w:rPr>
          <w:rFonts w:ascii="Times New Roman" w:eastAsia="Times New Roman" w:hAnsi="Times New Roman" w:cs="Times New Roman"/>
        </w:rPr>
      </w:pPr>
      <w:r w:rsidRPr="009B0DA5">
        <w:rPr>
          <w:rFonts w:ascii="Times New Roman" w:eastAsia="Times New Roman" w:hAnsi="Times New Roman" w:cs="Times New Roman"/>
        </w:rPr>
        <w:t>4)</w:t>
      </w:r>
      <w:r w:rsidR="009B0DA5">
        <w:rPr>
          <w:rFonts w:ascii="Times New Roman" w:eastAsia="Times New Roman" w:hAnsi="Times New Roman" w:cs="Times New Roman"/>
        </w:rPr>
        <w:t xml:space="preserve"> </w:t>
      </w:r>
      <w:r w:rsidRPr="009B0DA5">
        <w:rPr>
          <w:rFonts w:ascii="Times New Roman" w:eastAsia="Times New Roman" w:hAnsi="Times New Roman" w:cs="Times New Roman"/>
        </w:rPr>
        <w:t>Издатке за ангажовање стручног надзора на контима 5114 .</w:t>
      </w:r>
    </w:p>
    <w:p w:rsidR="009B0DA5" w:rsidRPr="009B0DA5" w:rsidRDefault="009B0DA5">
      <w:pPr>
        <w:pStyle w:val="normal0"/>
        <w:spacing w:after="0" w:line="240" w:lineRule="auto"/>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u w:val="single"/>
        </w:rPr>
      </w:pPr>
      <w:r w:rsidRPr="009B0DA5">
        <w:rPr>
          <w:rFonts w:ascii="Times New Roman" w:eastAsia="Times New Roman" w:hAnsi="Times New Roman" w:cs="Times New Roman"/>
        </w:rPr>
        <w:t xml:space="preserve">     </w:t>
      </w:r>
      <w:r w:rsidRPr="009B0DA5">
        <w:rPr>
          <w:rFonts w:ascii="Times New Roman" w:eastAsia="Times New Roman" w:hAnsi="Times New Roman" w:cs="Times New Roman"/>
          <w:u w:val="single"/>
        </w:rPr>
        <w:t>Ради реалног планирања издатака капиталног пројекта, неопходно је да корисници образложе тренутни статус дозвола и сагласности (локацијска, грађевинска дозвола, сагласности одговарајућих јавних предузећа) које су неопходне за почетак извођења радова. Корисници су дужни да планирају расходе, који су у вези са добијањем ових дозвола и сагласности, на одговарајућим контима.Обавезно је да се искаже и да ли су регулисани имовинско-правни односи ве</w:t>
      </w:r>
      <w:r>
        <w:rPr>
          <w:rFonts w:ascii="Times New Roman" w:eastAsia="Times New Roman" w:hAnsi="Times New Roman" w:cs="Times New Roman"/>
          <w:u w:val="single"/>
        </w:rPr>
        <w:t>зано за капиталне радове.</w:t>
      </w:r>
    </w:p>
    <w:p w:rsidR="009B0DA5" w:rsidRPr="009B0DA5" w:rsidRDefault="009B0DA5">
      <w:pPr>
        <w:pStyle w:val="normal0"/>
        <w:spacing w:after="0" w:line="240" w:lineRule="auto"/>
        <w:jc w:val="both"/>
        <w:rPr>
          <w:rFonts w:ascii="Times New Roman" w:eastAsia="Times New Roman" w:hAnsi="Times New Roman" w:cs="Times New Roman"/>
          <w:u w:val="single"/>
        </w:rPr>
      </w:pPr>
    </w:p>
    <w:p w:rsidR="002020EB" w:rsidRDefault="005A7D68">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Такође, на основу свеобухватне процене потреба, пројекте је потребно рангирати по приоритетима, у складу са усвојеним стратешким документима, водећи рачуна да приоритет у финансирању имају већ започети пројекти и пројекти за које су обезбеђене потребне дозволе.</w:t>
      </w:r>
      <w:r>
        <w:rPr>
          <w:rFonts w:ascii="Times New Roman" w:eastAsia="Times New Roman" w:hAnsi="Times New Roman" w:cs="Times New Roman"/>
          <w:b/>
          <w:sz w:val="24"/>
          <w:szCs w:val="24"/>
        </w:rPr>
        <w:t xml:space="preserve">       </w:t>
      </w:r>
      <w:r>
        <w:rPr>
          <w:rFonts w:ascii="Times New Roman" w:eastAsia="Times New Roman" w:hAnsi="Times New Roman" w:cs="Times New Roman"/>
          <w:b/>
        </w:rPr>
        <w:t>Уколико наведени капитални пројекти не буду имали образложење тренутног статуса пројекта, не могу бити укључени у буџет.</w:t>
      </w:r>
    </w:p>
    <w:p w:rsidR="009B0DA5" w:rsidRPr="009B0DA5" w:rsidRDefault="009B0DA5">
      <w:pPr>
        <w:pStyle w:val="normal0"/>
        <w:spacing w:after="0" w:line="240" w:lineRule="auto"/>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Препоручујемо да се приликом планирања капиталних издатака  прикупе информације о свим могућим изворима финансирања као што су конкурси , домаћи и међународни фондови и да се планира сопствено учешће или суфинансирање капиталних пројеката.У том циљу неопходно је да  редовно сарађујете са  Одељењем за локални економски развој општине Кучево .</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szCs w:val="24"/>
        </w:rPr>
        <w:t xml:space="preserve">Приликом припремања предлога финансијских планова буџетских корисника мора се  поштовати Правилник о стандардном класификационом оквиру и контном плану за буџетски систем (Сл. гласник РС, 20/7,,63/15). </w:t>
      </w:r>
    </w:p>
    <w:p w:rsidR="002020EB" w:rsidRDefault="002020EB">
      <w:pPr>
        <w:pStyle w:val="normal0"/>
        <w:spacing w:after="0" w:line="240" w:lineRule="auto"/>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VI  </w:t>
      </w:r>
      <w:r>
        <w:rPr>
          <w:rFonts w:ascii="Times New Roman" w:eastAsia="Times New Roman" w:hAnsi="Times New Roman" w:cs="Times New Roman"/>
          <w:b/>
          <w:smallCaps/>
        </w:rPr>
        <w:t xml:space="preserve">ПОСТУПАК И ДИНАМИКА ПРИПРЕМЕ БУЏЕТА ОПШТИНЕ </w:t>
      </w:r>
    </w:p>
    <w:p w:rsidR="002020EB" w:rsidRDefault="002020EB">
      <w:pPr>
        <w:pStyle w:val="normal0"/>
        <w:spacing w:after="0" w:line="240" w:lineRule="auto"/>
        <w:ind w:firstLine="708"/>
        <w:jc w:val="both"/>
        <w:rPr>
          <w:rFonts w:ascii="Times New Roman" w:eastAsia="Times New Roman" w:hAnsi="Times New Roman" w:cs="Times New Roman"/>
          <w:color w:val="4472C4"/>
        </w:rPr>
      </w:pP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На основу Упутства за припрему буџета, корисници буџетских средстава израђују предлог средњорочног и годишњег финансијског плана.</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color w:val="000000"/>
        </w:rPr>
        <w:t xml:space="preserve">      </w:t>
      </w:r>
      <w:r w:rsidR="009B0DA5">
        <w:rPr>
          <w:color w:val="000000"/>
        </w:rPr>
        <w:t xml:space="preserve">    </w:t>
      </w:r>
      <w:r>
        <w:rPr>
          <w:rFonts w:ascii="Times New Roman" w:eastAsia="Times New Roman" w:hAnsi="Times New Roman" w:cs="Times New Roman"/>
          <w:color w:val="000000"/>
        </w:rPr>
        <w:t>Први корак у планирању треба да буде израда програмских активности и пројеката на униформним обрасцима за израду програмског буџета .   У највећем броју случајева буџетски корисник обавља једну-до две  програмске активности и планира одређени број пројеката ( нпр. изградња објекта). На пројекат се распоређују расходи који се обављају у одређеном временском периоду у току године , али не сваке године.Пројекте мале вредности не треба исказивати посебно већ у оквиру програмске активности.</w:t>
      </w:r>
    </w:p>
    <w:p w:rsidR="002020EB" w:rsidRDefault="005A7D68">
      <w:pPr>
        <w:pStyle w:val="normal0"/>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         Предлог финансијског плана корисника буџетских средстава за 2019. годину и наредне 2</w:t>
      </w:r>
      <w:r>
        <w:rPr>
          <w:color w:val="000000"/>
        </w:rPr>
        <w:t xml:space="preserve"> </w:t>
      </w:r>
      <w:r>
        <w:rPr>
          <w:rFonts w:ascii="Times New Roman" w:eastAsia="Times New Roman" w:hAnsi="Times New Roman" w:cs="Times New Roman"/>
          <w:color w:val="000000"/>
        </w:rPr>
        <w:t>године треба да буде у оквиру датих ограничења. Потребно је да садржи :</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Предлог плана прихода и примања, по контима</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Табела 1- Програм</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-Табела 2 –Програмска активност</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-Табела 3 -Пројекат</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Захтев за додатна средства </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-Табелу –Планирана маса средстава за плате , </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-Табелу – Број запослених у 2019. години</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-Табела  – Капитални пројекти 2019-2021. </w:t>
      </w:r>
      <w:r>
        <w:rPr>
          <w:rFonts w:ascii="Times New Roman" w:eastAsia="Times New Roman" w:hAnsi="Times New Roman" w:cs="Times New Roman"/>
        </w:rPr>
        <w:t>г</w:t>
      </w:r>
      <w:r>
        <w:rPr>
          <w:rFonts w:ascii="Times New Roman" w:eastAsia="Times New Roman" w:hAnsi="Times New Roman" w:cs="Times New Roman"/>
          <w:color w:val="000000"/>
        </w:rPr>
        <w:t>одина</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-Писано  образложење за сваку табелу </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-Извештај о учинку програма за првих шест месеци 2018. године.</w:t>
      </w:r>
    </w:p>
    <w:p w:rsidR="002020EB" w:rsidRDefault="002020E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9B0D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Предлог финансијског плана, као и до сада мора бити исказан </w:t>
      </w:r>
      <w:r>
        <w:rPr>
          <w:rFonts w:ascii="Times New Roman" w:eastAsia="Times New Roman" w:hAnsi="Times New Roman" w:cs="Times New Roman"/>
          <w:color w:val="000000"/>
          <w:u w:val="single"/>
        </w:rPr>
        <w:t>по изворима финансирања</w:t>
      </w:r>
      <w:r>
        <w:rPr>
          <w:rFonts w:ascii="Times New Roman" w:eastAsia="Times New Roman" w:hAnsi="Times New Roman" w:cs="Times New Roman"/>
          <w:color w:val="000000"/>
        </w:rPr>
        <w:t xml:space="preserve"> (01, 04- сопствени приходи, Остали извори прихода) и да </w:t>
      </w:r>
      <w:r>
        <w:rPr>
          <w:rFonts w:ascii="Times New Roman" w:eastAsia="Times New Roman" w:hAnsi="Times New Roman" w:cs="Times New Roman"/>
          <w:color w:val="000000"/>
          <w:u w:val="single"/>
        </w:rPr>
        <w:t xml:space="preserve">буде са </w:t>
      </w:r>
      <w:r>
        <w:rPr>
          <w:rFonts w:ascii="Times New Roman" w:eastAsia="Times New Roman" w:hAnsi="Times New Roman" w:cs="Times New Roman"/>
          <w:b/>
          <w:color w:val="000000"/>
          <w:u w:val="single"/>
        </w:rPr>
        <w:t>писаним образложењем.</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Уколико буџетски корисници имају потребу за новим активностима и не могу се уклопити у задате лимите, потребно је да дају детаљно писмено образложење оправданости  </w:t>
      </w:r>
      <w:r>
        <w:rPr>
          <w:rFonts w:ascii="Times New Roman" w:eastAsia="Times New Roman" w:hAnsi="Times New Roman" w:cs="Times New Roman"/>
        </w:rPr>
        <w:t>З</w:t>
      </w:r>
      <w:r>
        <w:rPr>
          <w:rFonts w:ascii="Times New Roman" w:eastAsia="Times New Roman" w:hAnsi="Times New Roman" w:cs="Times New Roman"/>
          <w:color w:val="000000"/>
        </w:rPr>
        <w:t xml:space="preserve">ахтева за додатна средства.  </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Табелу </w:t>
      </w:r>
      <w:r>
        <w:rPr>
          <w:rFonts w:ascii="Times New Roman" w:eastAsia="Times New Roman" w:hAnsi="Times New Roman" w:cs="Times New Roman"/>
          <w:color w:val="000000"/>
          <w:u w:val="single"/>
        </w:rPr>
        <w:t>Планирана маса плата и број запослених</w:t>
      </w:r>
      <w:r>
        <w:rPr>
          <w:rFonts w:ascii="Times New Roman" w:eastAsia="Times New Roman" w:hAnsi="Times New Roman" w:cs="Times New Roman"/>
          <w:color w:val="000000"/>
        </w:rPr>
        <w:t xml:space="preserve">, попуњавају директни и индирекни корисници чије се плате финансирају из буџета општине, а Табелу </w:t>
      </w:r>
      <w:r>
        <w:rPr>
          <w:rFonts w:ascii="Times New Roman" w:eastAsia="Times New Roman" w:hAnsi="Times New Roman" w:cs="Times New Roman"/>
          <w:color w:val="000000"/>
          <w:u w:val="single"/>
        </w:rPr>
        <w:t>Капитални пројекти</w:t>
      </w:r>
      <w:r>
        <w:rPr>
          <w:rFonts w:ascii="Times New Roman" w:eastAsia="Times New Roman" w:hAnsi="Times New Roman" w:cs="Times New Roman"/>
          <w:color w:val="000000"/>
        </w:rPr>
        <w:t xml:space="preserve"> попуњавају сви корисници буџетских средства који имају потребе за истим и за које постоји реална могућност да се реализују.</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u w:val="single"/>
        </w:rPr>
      </w:pPr>
      <w:r>
        <w:rPr>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u w:val="single"/>
        </w:rPr>
        <w:t>Месне заједнице</w:t>
      </w:r>
      <w:r>
        <w:rPr>
          <w:rFonts w:ascii="Times New Roman" w:eastAsia="Times New Roman" w:hAnsi="Times New Roman" w:cs="Times New Roman"/>
          <w:color w:val="000000"/>
        </w:rPr>
        <w:t xml:space="preserve">  своје потребе  достављају Одељењу за буџет и финансије. Потребно је приходе и расходе исказати по свим изворима финансирања.</w:t>
      </w:r>
      <w:r>
        <w:rPr>
          <w:rFonts w:ascii="Times New Roman" w:eastAsia="Times New Roman" w:hAnsi="Times New Roman" w:cs="Times New Roman"/>
          <w:color w:val="000000"/>
          <w:u w:val="single"/>
        </w:rPr>
        <w:t xml:space="preserve"> Потребе за капиталним улагањима посебно исказати у Табели  Капитални пројекти. Обавезно је </w:t>
      </w:r>
      <w:r w:rsidR="009B0DA5">
        <w:rPr>
          <w:rFonts w:ascii="Times New Roman" w:eastAsia="Times New Roman" w:hAnsi="Times New Roman" w:cs="Times New Roman"/>
          <w:color w:val="000000"/>
          <w:u w:val="single"/>
        </w:rPr>
        <w:t>доставити и писано образложење з</w:t>
      </w:r>
      <w:r>
        <w:rPr>
          <w:rFonts w:ascii="Times New Roman" w:eastAsia="Times New Roman" w:hAnsi="Times New Roman" w:cs="Times New Roman"/>
          <w:color w:val="000000"/>
          <w:u w:val="single"/>
        </w:rPr>
        <w:t>а све расходе и издатке.</w:t>
      </w:r>
    </w:p>
    <w:p w:rsidR="002020EB" w:rsidRPr="009B0DA5"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u w:val="single"/>
        </w:rPr>
      </w:pPr>
      <w:r>
        <w:rPr>
          <w:color w:val="000000"/>
        </w:rPr>
        <w:t xml:space="preserve">     </w:t>
      </w:r>
      <w:r w:rsidR="009B0DA5">
        <w:rPr>
          <w:color w:val="000000"/>
        </w:rPr>
        <w:t xml:space="preserve">  </w:t>
      </w:r>
      <w:r>
        <w:rPr>
          <w:rFonts w:ascii="Times New Roman" w:eastAsia="Times New Roman" w:hAnsi="Times New Roman" w:cs="Times New Roman"/>
          <w:color w:val="000000"/>
        </w:rPr>
        <w:t xml:space="preserve">Напомињемо да приликом планирања апропријација обавезно планирате и </w:t>
      </w:r>
      <w:r>
        <w:rPr>
          <w:rFonts w:ascii="Times New Roman" w:eastAsia="Times New Roman" w:hAnsi="Times New Roman" w:cs="Times New Roman"/>
          <w:color w:val="000000"/>
          <w:u w:val="single"/>
        </w:rPr>
        <w:t>обавезе из претходног периода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Захтеви који нису исказани по програмској структури или не садрже детаљно образложење из којег се јасно може утврдити намена планираних средстава, неће се</w:t>
      </w:r>
      <w:r>
        <w:rPr>
          <w:color w:val="000000"/>
          <w:u w:val="single"/>
        </w:rPr>
        <w:t xml:space="preserve"> </w:t>
      </w:r>
      <w:r w:rsidRPr="009B0DA5">
        <w:rPr>
          <w:rFonts w:ascii="Times New Roman" w:eastAsia="Times New Roman" w:hAnsi="Times New Roman" w:cs="Times New Roman"/>
          <w:color w:val="000000"/>
          <w:u w:val="single"/>
        </w:rPr>
        <w:t>разматрати.</w:t>
      </w:r>
    </w:p>
    <w:p w:rsidR="002020EB" w:rsidRDefault="005A7D68">
      <w:pPr>
        <w:pStyle w:val="normal0"/>
        <w:pBdr>
          <w:top w:val="nil"/>
          <w:left w:val="nil"/>
          <w:bottom w:val="nil"/>
          <w:right w:val="nil"/>
          <w:between w:val="nil"/>
        </w:pBdr>
        <w:spacing w:after="0" w:line="240" w:lineRule="auto"/>
        <w:jc w:val="both"/>
        <w:rPr>
          <w:color w:val="000000"/>
        </w:rPr>
      </w:pPr>
      <w:r>
        <w:rPr>
          <w:color w:val="000000"/>
        </w:rPr>
        <w:t xml:space="preserve">      </w:t>
      </w:r>
      <w:r>
        <w:rPr>
          <w:rFonts w:ascii="Times New Roman" w:eastAsia="Times New Roman" w:hAnsi="Times New Roman" w:cs="Times New Roman"/>
          <w:color w:val="000000"/>
        </w:rPr>
        <w:t>Препоручује се да се у писаном образложењу наведу специфичности и потешкоће које се везују за реализацију расхода из претходног периода како би се избегло понављање грешака</w:t>
      </w:r>
      <w:r>
        <w:rPr>
          <w:color w:val="000000"/>
        </w:rPr>
        <w:t>.</w:t>
      </w:r>
    </w:p>
    <w:p w:rsidR="002020EB" w:rsidRDefault="002020EB">
      <w:pPr>
        <w:pStyle w:val="normal0"/>
        <w:pBdr>
          <w:top w:val="nil"/>
          <w:left w:val="nil"/>
          <w:bottom w:val="nil"/>
          <w:right w:val="nil"/>
          <w:between w:val="nil"/>
        </w:pBdr>
        <w:spacing w:after="0" w:line="240" w:lineRule="auto"/>
        <w:jc w:val="both"/>
        <w:rPr>
          <w:color w:val="000000"/>
        </w:rPr>
      </w:pP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     Предлог финансијског плана за буџетску 2019. годину и наредне две фискалне године треба доставити на прописаним обрасцима, које сте до сада користили. Предлог се доставља у писаном облику, потписан од стране директора и оверен печатом.Предлози се достављају Одељењу за буџет и финансије.</w:t>
      </w:r>
    </w:p>
    <w:p w:rsidR="002020EB" w:rsidRDefault="002020E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9B0DA5">
        <w:rPr>
          <w:rFonts w:ascii="Times New Roman" w:eastAsia="Times New Roman" w:hAnsi="Times New Roman" w:cs="Times New Roman"/>
          <w:b/>
          <w:color w:val="000000"/>
        </w:rPr>
        <w:t xml:space="preserve">Рок за доставу тражених података је </w:t>
      </w:r>
      <w:r w:rsidRPr="009B0DA5">
        <w:rPr>
          <w:rFonts w:ascii="Times New Roman" w:eastAsia="Times New Roman" w:hAnsi="Times New Roman" w:cs="Times New Roman"/>
          <w:b/>
          <w:color w:val="000000"/>
          <w:u w:val="single"/>
        </w:rPr>
        <w:t>01.09.2018. године</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w:t>
      </w:r>
    </w:p>
    <w:p w:rsidR="002020EB" w:rsidRDefault="002020EB">
      <w:pPr>
        <w:pStyle w:val="normal0"/>
        <w:spacing w:after="0" w:line="240" w:lineRule="auto"/>
        <w:jc w:val="both"/>
        <w:rPr>
          <w:rFonts w:ascii="Times New Roman" w:eastAsia="Times New Roman" w:hAnsi="Times New Roman" w:cs="Times New Roman"/>
          <w:sz w:val="24"/>
          <w:szCs w:val="24"/>
        </w:rPr>
      </w:pP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     </w:t>
      </w:r>
      <w:r w:rsidRPr="009B0DA5">
        <w:rPr>
          <w:rFonts w:ascii="Times New Roman" w:eastAsia="Times New Roman" w:hAnsi="Times New Roman" w:cs="Times New Roman"/>
          <w:sz w:val="24"/>
          <w:szCs w:val="24"/>
          <w:u w:val="single"/>
        </w:rPr>
        <w:t xml:space="preserve">Напомињемо да </w:t>
      </w:r>
      <w:r w:rsidRPr="009B0DA5">
        <w:rPr>
          <w:rFonts w:ascii="Times New Roman" w:eastAsia="Times New Roman" w:hAnsi="Times New Roman" w:cs="Times New Roman"/>
          <w:u w:val="single"/>
        </w:rPr>
        <w:t>ћете, п</w:t>
      </w:r>
      <w:r w:rsidRPr="009B0DA5">
        <w:rPr>
          <w:rFonts w:ascii="Times New Roman" w:eastAsia="Times New Roman" w:hAnsi="Times New Roman" w:cs="Times New Roman"/>
          <w:sz w:val="24"/>
          <w:szCs w:val="24"/>
          <w:u w:val="single"/>
        </w:rPr>
        <w:t>о достављању Упутства за припрему буџета локалне власти за 2019. годину од стране Министарства финансија,</w:t>
      </w:r>
      <w:r w:rsidRPr="009B0DA5">
        <w:rPr>
          <w:rFonts w:ascii="Times New Roman" w:eastAsia="Times New Roman" w:hAnsi="Times New Roman" w:cs="Times New Roman"/>
          <w:u w:val="single"/>
        </w:rPr>
        <w:t xml:space="preserve"> бити накнадно обавештени</w:t>
      </w:r>
      <w:r w:rsidRPr="009B0DA5">
        <w:rPr>
          <w:rFonts w:ascii="Times New Roman" w:eastAsia="Times New Roman" w:hAnsi="Times New Roman" w:cs="Times New Roman"/>
          <w:sz w:val="24"/>
          <w:szCs w:val="24"/>
          <w:u w:val="single"/>
        </w:rPr>
        <w:t xml:space="preserve"> о свим променама макроекономских показатеља и других смерница које могу да доведу</w:t>
      </w:r>
      <w:r w:rsidRPr="009B0DA5">
        <w:rPr>
          <w:rFonts w:ascii="Times New Roman" w:eastAsia="Times New Roman" w:hAnsi="Times New Roman" w:cs="Times New Roman"/>
          <w:u w:val="single"/>
        </w:rPr>
        <w:t xml:space="preserve"> до другачијих процена и измена у пројекцији буџета за наредну годину</w:t>
      </w:r>
      <w:r>
        <w:rPr>
          <w:rFonts w:ascii="Times New Roman" w:eastAsia="Times New Roman" w:hAnsi="Times New Roman" w:cs="Times New Roman"/>
        </w:rPr>
        <w:t>.</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smallCaps/>
        </w:rPr>
        <w:t>VII НАЧИН ИСКАЗИВАЊА РОДНЕ АНАЛИЗЕ БУЏЕТА</w:t>
      </w:r>
    </w:p>
    <w:p w:rsidR="002020EB" w:rsidRDefault="002020EB">
      <w:pPr>
        <w:pStyle w:val="normal0"/>
        <w:spacing w:after="0" w:line="240" w:lineRule="auto"/>
        <w:jc w:val="both"/>
        <w:rPr>
          <w:rFonts w:ascii="Times New Roman" w:eastAsia="Times New Roman" w:hAnsi="Times New Roman" w:cs="Times New Roman"/>
        </w:rPr>
      </w:pPr>
    </w:p>
    <w:p w:rsidR="002020EB" w:rsidRDefault="005A7D6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      У циљу спровођења реформе јавних финансија и унапређења програмског модела буџета, уведен је принцип родно одговорног буџетирања и то изменама и допунама Закона о буџетском систему крајем 2015. године.</w:t>
      </w:r>
      <w:r w:rsidRPr="009B0DA5">
        <w:rPr>
          <w:rFonts w:ascii="Times New Roman" w:eastAsia="Times New Roman" w:hAnsi="Times New Roman" w:cs="Times New Roman"/>
          <w:u w:val="single"/>
        </w:rPr>
        <w:t>Родно одговорно буџетирање</w:t>
      </w:r>
      <w:r>
        <w:rPr>
          <w:rFonts w:ascii="Times New Roman" w:eastAsia="Times New Roman" w:hAnsi="Times New Roman" w:cs="Times New Roman"/>
        </w:rPr>
        <w:t xml:space="preserve"> представља увођење принципа родне равноправности у буџетски процес, што подразумева родну анализу буџета и реструктурирање прихода и расхода са циљем унапређења родне равноправности.</w:t>
      </w:r>
      <w:r>
        <w:rPr>
          <w:rFonts w:ascii="Times New Roman" w:eastAsia="Times New Roman" w:hAnsi="Times New Roman" w:cs="Times New Roman"/>
          <w:sz w:val="24"/>
          <w:szCs w:val="24"/>
        </w:rPr>
        <w:t xml:space="preserve"> </w:t>
      </w:r>
    </w:p>
    <w:p w:rsidR="002020EB" w:rsidRDefault="005A7D6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Увођење родно одговорног буџетирања подразумева да буџетски корисници укључе у своје фина</w:t>
      </w:r>
      <w:r w:rsidR="009B0DA5">
        <w:rPr>
          <w:rFonts w:ascii="Times New Roman" w:eastAsia="Times New Roman" w:hAnsi="Times New Roman" w:cs="Times New Roman"/>
          <w:sz w:val="24"/>
          <w:szCs w:val="24"/>
        </w:rPr>
        <w:t>н</w:t>
      </w:r>
      <w:r>
        <w:rPr>
          <w:rFonts w:ascii="Times New Roman" w:eastAsia="Times New Roman" w:hAnsi="Times New Roman" w:cs="Times New Roman"/>
          <w:sz w:val="24"/>
          <w:szCs w:val="24"/>
        </w:rPr>
        <w:t>сијске планове принцип родне равноправности. Буџетски корисници се подстичу да у поступку израде програмског буџета кроз програме, програмске активности и пројекте у оквиру своје надлежности, припремају индикаторе који се односе на лица, тако да они буду разврстани по полу.</w:t>
      </w:r>
    </w:p>
    <w:p w:rsidR="002020EB" w:rsidRDefault="005A7D6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Потребно је да корисници буџетских средстава формулишу најмање један родно одговорни циљ у оквиру програма , и у оквиру програмске активности и/или пројекта дефинисаних тим програмом, искажу најмање један родни индикатор који адекватно мери допринос циља унапређења равноправности између мушкараца и жена.</w:t>
      </w:r>
    </w:p>
    <w:p w:rsidR="002020EB" w:rsidRDefault="002020EB">
      <w:pPr>
        <w:pStyle w:val="normal0"/>
        <w:spacing w:after="0" w:line="240" w:lineRule="auto"/>
        <w:jc w:val="both"/>
        <w:rPr>
          <w:rFonts w:ascii="Times New Roman" w:eastAsia="Times New Roman" w:hAnsi="Times New Roman" w:cs="Times New Roman"/>
          <w:sz w:val="24"/>
          <w:szCs w:val="24"/>
        </w:rPr>
      </w:pP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smallCaps/>
        </w:rPr>
        <w:t>VIII НАЧИН ИСКАЗИВАЊА ПРОГРАМСКИХ ИНФОРМАЦИЈА</w:t>
      </w:r>
    </w:p>
    <w:p w:rsidR="002020EB" w:rsidRDefault="002020EB">
      <w:pPr>
        <w:pStyle w:val="normal0"/>
        <w:spacing w:after="0" w:line="240" w:lineRule="auto"/>
        <w:jc w:val="both"/>
        <w:rPr>
          <w:rFonts w:ascii="Times New Roman" w:eastAsia="Times New Roman" w:hAnsi="Times New Roman" w:cs="Times New Roman"/>
        </w:rPr>
      </w:pP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rPr>
        <w:t>Законом о буџетском систему  је прописано  да Програмски модел буџета у целини треба примењивати почев од припреме буџета за 2015. годину на свим нивоима власти. Прoгрaмски буџeт прeдстaвљa eфикaсaн мeхaнизaм зa спровођење рeфoрмe упрaвљaњa jaвним финaнсиjaмa.</w:t>
      </w:r>
    </w:p>
    <w:p w:rsidR="002020EB" w:rsidRPr="009B0DA5" w:rsidRDefault="005A7D68">
      <w:pPr>
        <w:pStyle w:val="normal0"/>
        <w:spacing w:after="0" w:line="240" w:lineRule="auto"/>
        <w:ind w:firstLine="708"/>
        <w:rPr>
          <w:rFonts w:ascii="Times New Roman" w:eastAsia="Times New Roman" w:hAnsi="Times New Roman" w:cs="Times New Roman"/>
        </w:rPr>
      </w:pPr>
      <w:r w:rsidRPr="009B0DA5">
        <w:rPr>
          <w:rFonts w:ascii="Times New Roman" w:eastAsia="Times New Roman" w:hAnsi="Times New Roman" w:cs="Times New Roman"/>
        </w:rPr>
        <w:t>Ради спровођења ове законске одредбе, Министaрство финансија је саставило Упутство за израду програмског буџета и објавило на свом сајту.</w:t>
      </w: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b/>
        </w:rPr>
        <w:t xml:space="preserve">Прoгрaмску структуру </w:t>
      </w:r>
      <w:r w:rsidRPr="009B0DA5">
        <w:rPr>
          <w:rFonts w:ascii="Times New Roman" w:eastAsia="Times New Roman" w:hAnsi="Times New Roman" w:cs="Times New Roman"/>
        </w:rPr>
        <w:t xml:space="preserve">кoрисникa буџета чинe три прoгрaмскe кaтeгoриje: </w:t>
      </w:r>
      <w:r w:rsidRPr="009B0DA5">
        <w:rPr>
          <w:rFonts w:ascii="Times New Roman" w:eastAsia="Times New Roman" w:hAnsi="Times New Roman" w:cs="Times New Roman"/>
          <w:b/>
        </w:rPr>
        <w:t xml:space="preserve">прoгрaм, прoгрaмскa aктивнoст </w:t>
      </w:r>
      <w:r w:rsidRPr="009B0DA5">
        <w:rPr>
          <w:rFonts w:ascii="Times New Roman" w:eastAsia="Times New Roman" w:hAnsi="Times New Roman" w:cs="Times New Roman"/>
        </w:rPr>
        <w:t xml:space="preserve">и </w:t>
      </w:r>
      <w:r w:rsidRPr="009B0DA5">
        <w:rPr>
          <w:rFonts w:ascii="Times New Roman" w:eastAsia="Times New Roman" w:hAnsi="Times New Roman" w:cs="Times New Roman"/>
          <w:b/>
        </w:rPr>
        <w:t>прojeкaт</w:t>
      </w:r>
      <w:r w:rsidRPr="009B0DA5">
        <w:rPr>
          <w:rFonts w:ascii="Times New Roman" w:eastAsia="Times New Roman" w:hAnsi="Times New Roman" w:cs="Times New Roman"/>
        </w:rPr>
        <w:t xml:space="preserve">, кojима сe групишу рaсхoди и издaци. Те програмске категорије распоређене су у двa хиjeрaрхиjскa нивoa. Нa вишeм нивoу су прoгрaми, a на нижем су прoгрaмскe aктивнoсти и прojeкти који им припадају. </w:t>
      </w:r>
    </w:p>
    <w:p w:rsidR="002020EB" w:rsidRPr="009B0DA5"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b/>
        </w:rPr>
        <w:t xml:space="preserve">Прoгрaмскa aктивнoст </w:t>
      </w:r>
      <w:r w:rsidRPr="009B0DA5">
        <w:rPr>
          <w:rFonts w:ascii="Times New Roman" w:eastAsia="Times New Roman" w:hAnsi="Times New Roman" w:cs="Times New Roman"/>
        </w:rPr>
        <w:t>je тeкућa дeлaтнoст корисника буџета и ниje врeмeнски</w:t>
      </w:r>
      <w:r w:rsidRPr="009B0DA5">
        <w:rPr>
          <w:rFonts w:ascii="Times New Roman" w:eastAsia="Times New Roman" w:hAnsi="Times New Roman" w:cs="Times New Roman"/>
          <w:b/>
        </w:rPr>
        <w:t xml:space="preserve"> </w:t>
      </w:r>
      <w:r w:rsidRPr="009B0DA5">
        <w:rPr>
          <w:rFonts w:ascii="Times New Roman" w:eastAsia="Times New Roman" w:hAnsi="Times New Roman" w:cs="Times New Roman"/>
        </w:rPr>
        <w:t>oгрaничeнa.</w:t>
      </w:r>
    </w:p>
    <w:p w:rsidR="002020EB" w:rsidRDefault="005A7D68">
      <w:pPr>
        <w:pStyle w:val="normal0"/>
        <w:spacing w:after="0" w:line="240" w:lineRule="auto"/>
        <w:ind w:firstLine="708"/>
        <w:jc w:val="both"/>
        <w:rPr>
          <w:rFonts w:ascii="Times New Roman" w:eastAsia="Times New Roman" w:hAnsi="Times New Roman" w:cs="Times New Roman"/>
        </w:rPr>
      </w:pPr>
      <w:r w:rsidRPr="009B0DA5">
        <w:rPr>
          <w:rFonts w:ascii="Times New Roman" w:eastAsia="Times New Roman" w:hAnsi="Times New Roman" w:cs="Times New Roman"/>
          <w:b/>
        </w:rPr>
        <w:t xml:space="preserve">Прojeкaт </w:t>
      </w:r>
      <w:r w:rsidRPr="009B0DA5">
        <w:rPr>
          <w:rFonts w:ascii="Times New Roman" w:eastAsia="Times New Roman" w:hAnsi="Times New Roman" w:cs="Times New Roman"/>
        </w:rPr>
        <w:t>je временски ограничен пoслoвни пoдухвaт</w:t>
      </w:r>
      <w:r w:rsidRPr="009B0DA5">
        <w:rPr>
          <w:rFonts w:ascii="Times New Roman" w:eastAsia="Times New Roman" w:hAnsi="Times New Roman" w:cs="Times New Roman"/>
          <w:b/>
        </w:rPr>
        <w:t xml:space="preserve"> </w:t>
      </w:r>
      <w:r w:rsidRPr="009B0DA5">
        <w:rPr>
          <w:rFonts w:ascii="Times New Roman" w:eastAsia="Times New Roman" w:hAnsi="Times New Roman" w:cs="Times New Roman"/>
        </w:rPr>
        <w:t>корисника буџета чијим спровођењем</w:t>
      </w:r>
      <w:r>
        <w:rPr>
          <w:rFonts w:ascii="Times New Roman" w:eastAsia="Times New Roman" w:hAnsi="Times New Roman" w:cs="Times New Roman"/>
        </w:rPr>
        <w:t xml:space="preserve"> сe постижу циљeви кojи дoпринoсe остварењу прoгрaмa. Moжe сe oднoсити нa кaпитaлнo улaгaњe, унaпрeђeњe прoцeдурe у jaвнoj aдминистрaциjи, усавршавање држaвних службeникa и сличнe пoдухвaтe кojи дoпринoсe квaлитeтниjeм пружaњу jaвних услугa.</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Jединице локалне самоуправе</w:t>
      </w:r>
      <w:r>
        <w:rPr>
          <w:rFonts w:ascii="Times New Roman" w:eastAsia="Times New Roman" w:hAnsi="Times New Roman" w:cs="Times New Roman"/>
          <w:b/>
        </w:rPr>
        <w:t xml:space="preserve"> </w:t>
      </w:r>
      <w:r>
        <w:rPr>
          <w:rFonts w:ascii="Times New Roman" w:eastAsia="Times New Roman" w:hAnsi="Times New Roman" w:cs="Times New Roman"/>
        </w:rPr>
        <w:t xml:space="preserve">своју прoгрaмску структуру утврђују на основу листe прoгрaмa и прoгрaмских aктивнoсти </w:t>
      </w:r>
      <w:r>
        <w:rPr>
          <w:rFonts w:ascii="Times New Roman" w:eastAsia="Times New Roman" w:hAnsi="Times New Roman" w:cs="Times New Roman"/>
          <w:b/>
        </w:rPr>
        <w:t>униформних зa свe јединице локалне самоуправе</w:t>
      </w:r>
      <w:r>
        <w:rPr>
          <w:rFonts w:ascii="Times New Roman" w:eastAsia="Times New Roman" w:hAnsi="Times New Roman" w:cs="Times New Roman"/>
        </w:rPr>
        <w:t xml:space="preserve">. Ту листу је утврдила Стaлнa кoнфeрeнциja градoвa и oпштинa (СКГO) у </w:t>
      </w:r>
      <w:r>
        <w:rPr>
          <w:rFonts w:ascii="Times New Roman" w:eastAsia="Times New Roman" w:hAnsi="Times New Roman" w:cs="Times New Roman"/>
          <w:b/>
        </w:rPr>
        <w:t>Анексу 5.</w:t>
      </w:r>
      <w:r>
        <w:rPr>
          <w:rFonts w:ascii="Times New Roman" w:eastAsia="Times New Roman" w:hAnsi="Times New Roman" w:cs="Times New Roman"/>
        </w:rPr>
        <w:t xml:space="preserve"> наведеног Упутства. У тој листи је за прoгрaме и прoгрaмске aктивнoсти утврђена њихова шифра, нaзив, сeктoр кoмe припaдaју и сврха.</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По програмској методологији за сваки програм, програмску активност и пројекат је потребно утврдити циљеве, индикаторе, којима се мери постизање тих циљева и циљане вредности индикатора за следеће три године. </w:t>
      </w:r>
    </w:p>
    <w:p w:rsidR="002020EB" w:rsidRDefault="005A7D68">
      <w:pPr>
        <w:pStyle w:val="norm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Опис програма, програмских активности и пројеката, као и њихових циљева и индикатора ће бити саставни део нормативног дела буџета. </w:t>
      </w:r>
      <w:r>
        <w:rPr>
          <w:rFonts w:ascii="Times New Roman" w:eastAsia="Times New Roman" w:hAnsi="Times New Roman" w:cs="Times New Roman"/>
          <w:b/>
        </w:rPr>
        <w:t xml:space="preserve">Стога неопходно је да сваки буџетски корисник испуни обрасце за своје програмске активности и пројекте. </w:t>
      </w:r>
      <w:r>
        <w:rPr>
          <w:rFonts w:ascii="Times New Roman" w:eastAsia="Times New Roman" w:hAnsi="Times New Roman" w:cs="Times New Roman"/>
        </w:rPr>
        <w:t xml:space="preserve">Посебно је потребно обратити пажњу на шифарник програма и програмских активности и индикаторе. </w:t>
      </w:r>
    </w:p>
    <w:p w:rsidR="002020EB" w:rsidRPr="009B0DA5" w:rsidRDefault="009B0DA5" w:rsidP="009B0DA5">
      <w:pPr>
        <w:pStyle w:val="normal0"/>
        <w:spacing w:after="0" w:line="240" w:lineRule="auto"/>
        <w:jc w:val="both"/>
        <w:rPr>
          <w:rFonts w:ascii="Times New Roman" w:eastAsia="Times New Roman" w:hAnsi="Times New Roman" w:cs="Times New Roman"/>
          <w:u w:val="single"/>
        </w:rPr>
      </w:pPr>
      <w:r>
        <w:rPr>
          <w:color w:val="4472C4"/>
        </w:rPr>
        <w:lastRenderedPageBreak/>
        <w:t xml:space="preserve">            </w:t>
      </w:r>
      <w:r w:rsidR="005A7D68" w:rsidRPr="009B0DA5">
        <w:rPr>
          <w:rFonts w:ascii="Times New Roman" w:eastAsia="Times New Roman" w:hAnsi="Times New Roman" w:cs="Times New Roman"/>
          <w:b/>
        </w:rPr>
        <w:t>Напомињемо</w:t>
      </w:r>
      <w:r w:rsidR="005A7D68" w:rsidRPr="009B0DA5">
        <w:rPr>
          <w:rFonts w:ascii="Times New Roman" w:eastAsia="Times New Roman" w:hAnsi="Times New Roman" w:cs="Times New Roman"/>
        </w:rPr>
        <w:t xml:space="preserve"> да су корисници буџета локалне власти  у обавези да достављају локалном органу управе  надлежном за финансије </w:t>
      </w:r>
      <w:r>
        <w:rPr>
          <w:rFonts w:ascii="Times New Roman" w:eastAsia="Times New Roman" w:hAnsi="Times New Roman" w:cs="Times New Roman"/>
          <w:b/>
        </w:rPr>
        <w:t>И</w:t>
      </w:r>
      <w:r w:rsidR="005A7D68" w:rsidRPr="009B0DA5">
        <w:rPr>
          <w:rFonts w:ascii="Times New Roman" w:eastAsia="Times New Roman" w:hAnsi="Times New Roman" w:cs="Times New Roman"/>
          <w:b/>
        </w:rPr>
        <w:t xml:space="preserve">звештаје о учинку </w:t>
      </w:r>
      <w:r w:rsidR="005A7D68" w:rsidRPr="009B0DA5">
        <w:rPr>
          <w:rFonts w:ascii="Times New Roman" w:eastAsia="Times New Roman" w:hAnsi="Times New Roman" w:cs="Times New Roman"/>
        </w:rPr>
        <w:t xml:space="preserve">програмске активности и пројеката (полугодишњи и годишњи) на прописаном обрасцу. </w:t>
      </w:r>
      <w:r w:rsidR="005A7D68" w:rsidRPr="009B0DA5">
        <w:rPr>
          <w:rFonts w:ascii="Times New Roman" w:eastAsia="Times New Roman" w:hAnsi="Times New Roman" w:cs="Times New Roman"/>
          <w:u w:val="single"/>
        </w:rPr>
        <w:t xml:space="preserve">Полугодишњи извештај за 2018. годину о учинку програмске активности и пројеката је обавезан елемент предлога финансијског плана буџетских корисника за 2019. годину. </w:t>
      </w:r>
    </w:p>
    <w:p w:rsidR="002020EB" w:rsidRDefault="005A7D6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 основу информација које је стекао током спровођења програмске активности или  пројеката, корисник буџета израђује нацрт образложења спровођења програмске активности  или пројеката. При томе, врши анализу напретка у остварењу циљева и степена извршења буџета током извештајног периода. У образложењу се истичу:</w:t>
      </w:r>
    </w:p>
    <w:p w:rsidR="002020EB" w:rsidRDefault="005A7D68">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најзначајнија достигнућа,</w:t>
      </w:r>
    </w:p>
    <w:p w:rsidR="002020EB" w:rsidRDefault="005A7D68">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најзначајнија одступања од плана реализације или констатација да се реализација врши према плану,</w:t>
      </w:r>
    </w:p>
    <w:p w:rsidR="002020EB" w:rsidRDefault="005A7D68">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могући проблеми у даљем спровођењу плана, као и предлози за њихово решавање,</w:t>
      </w:r>
    </w:p>
    <w:p w:rsidR="002020EB" w:rsidRDefault="005A7D68">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утицај који резултат спровођења програмске активности или пројекта у извештајном периоду може имати на учинке и средства планирана за наредни извештајни период (шестомесечни или годишњи),</w:t>
      </w:r>
    </w:p>
    <w:p w:rsidR="002020EB" w:rsidRDefault="005A7D68">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додатни релевантни подаци који се не прате кроз показатеље учинка.</w:t>
      </w:r>
    </w:p>
    <w:p w:rsidR="002020EB" w:rsidRDefault="002020EB">
      <w:pPr>
        <w:pStyle w:val="normal0"/>
        <w:pBdr>
          <w:top w:val="nil"/>
          <w:left w:val="nil"/>
          <w:bottom w:val="nil"/>
          <w:right w:val="nil"/>
          <w:between w:val="nil"/>
        </w:pBdr>
        <w:spacing w:after="0" w:line="240" w:lineRule="auto"/>
        <w:ind w:left="765" w:hanging="720"/>
        <w:jc w:val="both"/>
        <w:rPr>
          <w:rFonts w:ascii="Times New Roman" w:eastAsia="Times New Roman" w:hAnsi="Times New Roman" w:cs="Times New Roman"/>
          <w:color w:val="000000"/>
        </w:rPr>
      </w:pPr>
    </w:p>
    <w:p w:rsidR="002020EB" w:rsidRDefault="005A7D68">
      <w:pPr>
        <w:pStyle w:val="normal0"/>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         Министарство финансија је израдило </w:t>
      </w:r>
      <w:r>
        <w:t xml:space="preserve"> </w:t>
      </w:r>
      <w:r>
        <w:rPr>
          <w:rFonts w:ascii="Times New Roman" w:eastAsia="Times New Roman" w:hAnsi="Times New Roman" w:cs="Times New Roman"/>
          <w:b/>
        </w:rPr>
        <w:t>Упутство за праћење и извештавање о</w:t>
      </w:r>
      <w:r>
        <w:rPr>
          <w:rFonts w:ascii="Times New Roman" w:eastAsia="Times New Roman" w:hAnsi="Times New Roman" w:cs="Times New Roman"/>
          <w:b/>
          <w:sz w:val="24"/>
          <w:szCs w:val="24"/>
        </w:rPr>
        <w:t xml:space="preserve">  учинку програма</w:t>
      </w:r>
      <w:r>
        <w:rPr>
          <w:rFonts w:ascii="Times New Roman" w:eastAsia="Times New Roman" w:hAnsi="Times New Roman" w:cs="Times New Roman"/>
          <w:sz w:val="24"/>
          <w:szCs w:val="24"/>
        </w:rPr>
        <w:t xml:space="preserve"> и исто је доступно на сајту </w:t>
      </w:r>
      <w:hyperlink r:id="rId8">
        <w:r>
          <w:rPr>
            <w:rFonts w:ascii="Times New Roman" w:eastAsia="Times New Roman" w:hAnsi="Times New Roman" w:cs="Times New Roman"/>
            <w:color w:val="0000FF"/>
            <w:u w:val="single"/>
          </w:rPr>
          <w:t>www.mfin.gov.rs</w:t>
        </w:r>
      </w:hyperlink>
      <w:r>
        <w:rPr>
          <w:rFonts w:ascii="Times New Roman" w:eastAsia="Times New Roman" w:hAnsi="Times New Roman" w:cs="Times New Roman"/>
          <w:u w:val="single"/>
        </w:rPr>
        <w:t xml:space="preserve">. </w:t>
      </w:r>
    </w:p>
    <w:p w:rsidR="002020EB" w:rsidRDefault="002020EB">
      <w:pPr>
        <w:pStyle w:val="normal0"/>
        <w:spacing w:after="0" w:line="240" w:lineRule="auto"/>
        <w:jc w:val="both"/>
        <w:rPr>
          <w:rFonts w:ascii="Times New Roman" w:eastAsia="Times New Roman" w:hAnsi="Times New Roman" w:cs="Times New Roman"/>
        </w:rPr>
      </w:pPr>
    </w:p>
    <w:p w:rsidR="002020EB" w:rsidRDefault="002020EB">
      <w:pPr>
        <w:pStyle w:val="normal0"/>
        <w:spacing w:after="0" w:line="240" w:lineRule="auto"/>
        <w:jc w:val="both"/>
        <w:rPr>
          <w:rFonts w:ascii="Times New Roman" w:eastAsia="Times New Roman" w:hAnsi="Times New Roman" w:cs="Times New Roman"/>
        </w:rPr>
      </w:pPr>
    </w:p>
    <w:p w:rsidR="002020EB" w:rsidRDefault="002020EB">
      <w:pPr>
        <w:pStyle w:val="normal0"/>
        <w:spacing w:after="0" w:line="240" w:lineRule="auto"/>
        <w:jc w:val="both"/>
        <w:rPr>
          <w:rFonts w:ascii="Times New Roman" w:eastAsia="Times New Roman" w:hAnsi="Times New Roman" w:cs="Times New Roman"/>
        </w:rPr>
      </w:pPr>
    </w:p>
    <w:p w:rsidR="002020EB" w:rsidRDefault="002020EB">
      <w:pPr>
        <w:pStyle w:val="normal0"/>
        <w:spacing w:after="0" w:line="240" w:lineRule="auto"/>
        <w:jc w:val="both"/>
        <w:rPr>
          <w:rFonts w:ascii="Times New Roman" w:eastAsia="Times New Roman" w:hAnsi="Times New Roman" w:cs="Times New Roman"/>
        </w:rPr>
      </w:pPr>
    </w:p>
    <w:p w:rsidR="002020EB" w:rsidRDefault="002020EB">
      <w:pPr>
        <w:pStyle w:val="normal0"/>
        <w:spacing w:after="0" w:line="240" w:lineRule="auto"/>
        <w:jc w:val="both"/>
        <w:rPr>
          <w:rFonts w:ascii="Times New Roman" w:eastAsia="Times New Roman" w:hAnsi="Times New Roman" w:cs="Times New Roman"/>
        </w:rPr>
      </w:pP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r w:rsidR="0091743B">
        <w:rPr>
          <w:rFonts w:ascii="Times New Roman" w:eastAsia="Times New Roman" w:hAnsi="Times New Roman" w:cs="Times New Roman"/>
        </w:rPr>
        <w:t xml:space="preserve">                              </w:t>
      </w:r>
      <w:r>
        <w:rPr>
          <w:rFonts w:ascii="Times New Roman" w:eastAsia="Times New Roman" w:hAnsi="Times New Roman" w:cs="Times New Roman"/>
        </w:rPr>
        <w:t xml:space="preserve"> Руководилац </w:t>
      </w:r>
      <w:r w:rsidR="0091743B">
        <w:rPr>
          <w:rFonts w:ascii="Times New Roman" w:eastAsia="Times New Roman" w:hAnsi="Times New Roman" w:cs="Times New Roman"/>
        </w:rPr>
        <w:t xml:space="preserve"> </w:t>
      </w:r>
      <w:r>
        <w:rPr>
          <w:rFonts w:ascii="Times New Roman" w:eastAsia="Times New Roman" w:hAnsi="Times New Roman" w:cs="Times New Roman"/>
        </w:rPr>
        <w:t>Одељења за буџет и финансије</w:t>
      </w:r>
    </w:p>
    <w:p w:rsidR="002020EB" w:rsidRDefault="005A7D68">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r w:rsidR="0091743B">
        <w:rPr>
          <w:rFonts w:ascii="Times New Roman" w:eastAsia="Times New Roman" w:hAnsi="Times New Roman" w:cs="Times New Roman"/>
        </w:rPr>
        <w:t xml:space="preserve">                        </w:t>
      </w:r>
      <w:r>
        <w:rPr>
          <w:rFonts w:ascii="Times New Roman" w:eastAsia="Times New Roman" w:hAnsi="Times New Roman" w:cs="Times New Roman"/>
        </w:rPr>
        <w:t>Тања Живковић</w:t>
      </w:r>
    </w:p>
    <w:p w:rsidR="002020EB" w:rsidRDefault="005A7D68">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2020EB" w:rsidRDefault="002020EB">
      <w:pPr>
        <w:pStyle w:val="normal0"/>
        <w:spacing w:after="0" w:line="240" w:lineRule="auto"/>
        <w:ind w:firstLine="708"/>
        <w:jc w:val="both"/>
        <w:rPr>
          <w:rFonts w:ascii="Times New Roman" w:eastAsia="Times New Roman" w:hAnsi="Times New Roman" w:cs="Times New Roman"/>
        </w:rPr>
      </w:pPr>
    </w:p>
    <w:p w:rsidR="002020EB" w:rsidRDefault="002020EB">
      <w:pPr>
        <w:pStyle w:val="normal0"/>
        <w:spacing w:after="120" w:line="240" w:lineRule="auto"/>
        <w:ind w:left="1068"/>
        <w:jc w:val="both"/>
        <w:rPr>
          <w:rFonts w:ascii="Times New Roman" w:eastAsia="Times New Roman" w:hAnsi="Times New Roman" w:cs="Times New Roman"/>
          <w:sz w:val="24"/>
          <w:szCs w:val="24"/>
        </w:rPr>
      </w:pPr>
    </w:p>
    <w:sectPr w:rsidR="002020EB" w:rsidSect="002020EB">
      <w:footerReference w:type="default" r:id="rId9"/>
      <w:pgSz w:w="11906" w:h="16838"/>
      <w:pgMar w:top="1417" w:right="1417" w:bottom="1417" w:left="1417" w:header="708" w:footer="5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D68" w:rsidRDefault="005A7D68" w:rsidP="002020EB">
      <w:pPr>
        <w:spacing w:after="0" w:line="240" w:lineRule="auto"/>
      </w:pPr>
      <w:r>
        <w:separator/>
      </w:r>
    </w:p>
  </w:endnote>
  <w:endnote w:type="continuationSeparator" w:id="0">
    <w:p w:rsidR="005A7D68" w:rsidRDefault="005A7D68" w:rsidP="00202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EB" w:rsidRDefault="002F5EC3">
    <w:pPr>
      <w:pStyle w:val="normal0"/>
      <w:pBdr>
        <w:top w:val="nil"/>
        <w:left w:val="nil"/>
        <w:bottom w:val="nil"/>
        <w:right w:val="nil"/>
        <w:between w:val="nil"/>
      </w:pBdr>
      <w:tabs>
        <w:tab w:val="center" w:pos="4536"/>
        <w:tab w:val="right" w:pos="9072"/>
      </w:tabs>
      <w:jc w:val="center"/>
      <w:rPr>
        <w:color w:val="000000"/>
      </w:rPr>
    </w:pPr>
    <w:r>
      <w:rPr>
        <w:color w:val="000000"/>
      </w:rPr>
      <w:fldChar w:fldCharType="begin"/>
    </w:r>
    <w:r w:rsidR="005A7D68">
      <w:rPr>
        <w:color w:val="000000"/>
      </w:rPr>
      <w:instrText>PAGE</w:instrText>
    </w:r>
    <w:r>
      <w:rPr>
        <w:color w:val="000000"/>
      </w:rPr>
      <w:fldChar w:fldCharType="separate"/>
    </w:r>
    <w:r w:rsidR="00D42F24">
      <w:rPr>
        <w:noProof/>
        <w:color w:val="000000"/>
      </w:rPr>
      <w:t>2</w:t>
    </w:r>
    <w:r>
      <w:rPr>
        <w:color w:val="000000"/>
      </w:rPr>
      <w:fldChar w:fldCharType="end"/>
    </w:r>
  </w:p>
  <w:p w:rsidR="002020EB" w:rsidRDefault="002020EB">
    <w:pPr>
      <w:pStyle w:val="normal0"/>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D68" w:rsidRDefault="005A7D68" w:rsidP="002020EB">
      <w:pPr>
        <w:spacing w:after="0" w:line="240" w:lineRule="auto"/>
      </w:pPr>
      <w:r>
        <w:separator/>
      </w:r>
    </w:p>
  </w:footnote>
  <w:footnote w:type="continuationSeparator" w:id="0">
    <w:p w:rsidR="005A7D68" w:rsidRDefault="005A7D68" w:rsidP="002020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7EB3"/>
    <w:multiLevelType w:val="multilevel"/>
    <w:tmpl w:val="0C50D6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3D75CC1"/>
    <w:multiLevelType w:val="multilevel"/>
    <w:tmpl w:val="5EA2DD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504776B"/>
    <w:multiLevelType w:val="multilevel"/>
    <w:tmpl w:val="1B5048A8"/>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C82201E"/>
    <w:multiLevelType w:val="multilevel"/>
    <w:tmpl w:val="AADC23D0"/>
    <w:lvl w:ilvl="0">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4">
    <w:nsid w:val="389142A4"/>
    <w:multiLevelType w:val="multilevel"/>
    <w:tmpl w:val="9F18E8B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2C93853"/>
    <w:multiLevelType w:val="multilevel"/>
    <w:tmpl w:val="1C3A5000"/>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020EB"/>
    <w:rsid w:val="001C1F88"/>
    <w:rsid w:val="002020EB"/>
    <w:rsid w:val="002F5EC3"/>
    <w:rsid w:val="005A7D68"/>
    <w:rsid w:val="0091743B"/>
    <w:rsid w:val="009B0DA5"/>
    <w:rsid w:val="00D42F24"/>
    <w:rsid w:val="00ED460B"/>
    <w:rsid w:val="00FE1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C3"/>
  </w:style>
  <w:style w:type="paragraph" w:styleId="Heading1">
    <w:name w:val="heading 1"/>
    <w:basedOn w:val="normal0"/>
    <w:next w:val="normal0"/>
    <w:rsid w:val="002020EB"/>
    <w:pPr>
      <w:keepNext/>
      <w:keepLines/>
      <w:spacing w:before="480" w:after="120"/>
      <w:outlineLvl w:val="0"/>
    </w:pPr>
    <w:rPr>
      <w:b/>
      <w:sz w:val="48"/>
      <w:szCs w:val="48"/>
    </w:rPr>
  </w:style>
  <w:style w:type="paragraph" w:styleId="Heading2">
    <w:name w:val="heading 2"/>
    <w:basedOn w:val="normal0"/>
    <w:next w:val="normal0"/>
    <w:rsid w:val="002020EB"/>
    <w:pPr>
      <w:keepNext/>
      <w:keepLines/>
      <w:spacing w:before="360" w:after="80"/>
      <w:outlineLvl w:val="1"/>
    </w:pPr>
    <w:rPr>
      <w:b/>
      <w:sz w:val="36"/>
      <w:szCs w:val="36"/>
    </w:rPr>
  </w:style>
  <w:style w:type="paragraph" w:styleId="Heading3">
    <w:name w:val="heading 3"/>
    <w:basedOn w:val="normal0"/>
    <w:next w:val="normal0"/>
    <w:rsid w:val="002020EB"/>
    <w:pPr>
      <w:keepNext/>
      <w:keepLines/>
      <w:spacing w:before="280" w:after="80"/>
      <w:outlineLvl w:val="2"/>
    </w:pPr>
    <w:rPr>
      <w:b/>
      <w:sz w:val="28"/>
      <w:szCs w:val="28"/>
    </w:rPr>
  </w:style>
  <w:style w:type="paragraph" w:styleId="Heading4">
    <w:name w:val="heading 4"/>
    <w:basedOn w:val="normal0"/>
    <w:next w:val="normal0"/>
    <w:rsid w:val="002020EB"/>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0"/>
    <w:next w:val="normal0"/>
    <w:rsid w:val="002020EB"/>
    <w:pPr>
      <w:keepNext/>
      <w:keepLines/>
      <w:spacing w:before="220" w:after="40"/>
      <w:outlineLvl w:val="4"/>
    </w:pPr>
    <w:rPr>
      <w:b/>
    </w:rPr>
  </w:style>
  <w:style w:type="paragraph" w:styleId="Heading6">
    <w:name w:val="heading 6"/>
    <w:basedOn w:val="normal0"/>
    <w:next w:val="normal0"/>
    <w:rsid w:val="002020E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020EB"/>
  </w:style>
  <w:style w:type="paragraph" w:styleId="Title">
    <w:name w:val="Title"/>
    <w:basedOn w:val="normal0"/>
    <w:next w:val="normal0"/>
    <w:rsid w:val="002020EB"/>
    <w:pPr>
      <w:keepNext/>
      <w:keepLines/>
      <w:spacing w:before="480" w:after="120"/>
    </w:pPr>
    <w:rPr>
      <w:b/>
      <w:sz w:val="72"/>
      <w:szCs w:val="72"/>
    </w:rPr>
  </w:style>
  <w:style w:type="paragraph" w:styleId="Subtitle">
    <w:name w:val="Subtitle"/>
    <w:basedOn w:val="normal0"/>
    <w:next w:val="normal0"/>
    <w:rsid w:val="002020EB"/>
    <w:pPr>
      <w:keepNext/>
      <w:keepLines/>
      <w:spacing w:before="360" w:after="80"/>
    </w:pPr>
    <w:rPr>
      <w:rFonts w:ascii="Georgia" w:eastAsia="Georgia" w:hAnsi="Georgia" w:cs="Georgia"/>
      <w:i/>
      <w:color w:val="666666"/>
      <w:sz w:val="48"/>
      <w:szCs w:val="48"/>
    </w:rPr>
  </w:style>
  <w:style w:type="table" w:customStyle="1" w:styleId="a">
    <w:basedOn w:val="TableNormal"/>
    <w:rsid w:val="002020EB"/>
    <w:tblPr>
      <w:tblStyleRowBandSize w:val="1"/>
      <w:tblStyleColBandSize w:val="1"/>
      <w:tblInd w:w="0" w:type="dxa"/>
      <w:tblCellMar>
        <w:top w:w="0" w:type="dxa"/>
        <w:left w:w="57" w:type="dxa"/>
        <w:bottom w:w="0" w:type="dxa"/>
        <w:right w:w="57" w:type="dxa"/>
      </w:tblCellMar>
    </w:tblPr>
  </w:style>
  <w:style w:type="table" w:customStyle="1" w:styleId="a0">
    <w:basedOn w:val="TableNormal"/>
    <w:rsid w:val="002020EB"/>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2020EB"/>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2020EB"/>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9B0DA5"/>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fin.gov.rs" TargetMode="External"/><Relationship Id="rId3" Type="http://schemas.openxmlformats.org/officeDocument/2006/relationships/settings" Target="settings.xml"/><Relationship Id="rId7" Type="http://schemas.openxmlformats.org/officeDocument/2006/relationships/hyperlink" Target="http://www.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4522</Words>
  <Characters>25782</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zivkovic</dc:creator>
  <cp:lastModifiedBy>tanjaz</cp:lastModifiedBy>
  <cp:revision>2</cp:revision>
  <dcterms:created xsi:type="dcterms:W3CDTF">2019-07-22T13:02:00Z</dcterms:created>
  <dcterms:modified xsi:type="dcterms:W3CDTF">2019-07-22T13:02:00Z</dcterms:modified>
</cp:coreProperties>
</file>